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3DA" w:rsidRPr="000E3D7B" w:rsidRDefault="00372175" w:rsidP="000E3D7B">
      <w:pPr>
        <w:pStyle w:val="Rtitle"/>
      </w:pPr>
      <w:r w:rsidRPr="000E3D7B">
        <w:t>Internal audit assurance for the Pension Fund Committee</w:t>
      </w:r>
    </w:p>
    <w:p w:rsidR="00F02DC5" w:rsidRPr="00951213" w:rsidRDefault="00372175" w:rsidP="00951213">
      <w:pPr>
        <w:pStyle w:val="Rheading"/>
      </w:pPr>
      <w:r>
        <w:t>Introduction</w:t>
      </w:r>
    </w:p>
    <w:p w:rsidR="00194768" w:rsidRDefault="00372175" w:rsidP="0017397E">
      <w:pPr>
        <w:pStyle w:val="Rparagraph"/>
      </w:pPr>
      <w:r>
        <w:t xml:space="preserve">Lancashire County Council, as the administering authority of the Lancashire County Pension Fund, has prepared a governance policy statement that sets out the role of the council's </w:t>
      </w:r>
      <w:r>
        <w:t>Pension Fund Committee, Investment Panel and Pension Board. The Pension Board's terms of reference include the requirements that it should, "monitor internal and external audit reports" and "review the outcome of internal and external audit reports in rela</w:t>
      </w:r>
      <w:r>
        <w:t>tion to the Fund".</w:t>
      </w:r>
    </w:p>
    <w:p w:rsidR="00873C5A" w:rsidRDefault="00372175" w:rsidP="0017397E">
      <w:pPr>
        <w:pStyle w:val="Rparagraph"/>
      </w:pPr>
      <w:r>
        <w:t>The county council's Audit, Risk and Governance Committee has a wider remit as set out in its terms of reference as follows:</w:t>
      </w:r>
    </w:p>
    <w:p w:rsidR="00D95780" w:rsidRDefault="00372175" w:rsidP="00D95780">
      <w:pPr>
        <w:pStyle w:val="Rquotation"/>
      </w:pPr>
      <w:r>
        <w:t>"The primary purpose of the committee is to provide independent assurance to the members (being those charged wi</w:t>
      </w:r>
      <w:r>
        <w:t>th governance) of the adequacy of the risk management framework and the internal control environment. It provides independent review of the Council's governance, risk management and control frameworks and oversees the financial reporting and annual governa</w:t>
      </w:r>
      <w:r>
        <w:t>nce processes. It oversees internal audit and external audit, helping to ensure efficient and effective assurance arrangements are in place."</w:t>
      </w:r>
    </w:p>
    <w:p w:rsidR="00CB015A" w:rsidRDefault="00372175" w:rsidP="00D95780">
      <w:pPr>
        <w:pStyle w:val="Rparagraph"/>
      </w:pPr>
      <w:r>
        <w:t>The Audit, Risk and Governance Committee's terms of reference address its oversight of the work of the Internal Au</w:t>
      </w:r>
      <w:r>
        <w:t>dit Service in some detail, and include a requirement to,</w:t>
      </w:r>
    </w:p>
    <w:p w:rsidR="00CB015A" w:rsidRDefault="00372175" w:rsidP="00CB015A">
      <w:pPr>
        <w:pStyle w:val="Rquotation"/>
      </w:pPr>
      <w:r>
        <w:t>"</w:t>
      </w:r>
      <w:r>
        <w:rPr>
          <w:rFonts w:ascii="ArialMT" w:hAnsi="ArialMT" w:cs="ArialMT"/>
          <w:szCs w:val="24"/>
        </w:rPr>
        <w:t xml:space="preserve">Consider reports from the head of internal audit on internal audit’s performance during the year, including the performance of external providers of </w:t>
      </w:r>
      <w:proofErr w:type="gramStart"/>
      <w:r>
        <w:rPr>
          <w:rFonts w:ascii="ArialMT" w:hAnsi="ArialMT" w:cs="ArialMT"/>
          <w:szCs w:val="24"/>
        </w:rPr>
        <w:t>internal</w:t>
      </w:r>
      <w:proofErr w:type="gramEnd"/>
      <w:r>
        <w:rPr>
          <w:rFonts w:ascii="ArialMT" w:hAnsi="ArialMT" w:cs="ArialMT"/>
          <w:szCs w:val="24"/>
        </w:rPr>
        <w:t xml:space="preserve"> audit services. These will include upda</w:t>
      </w:r>
      <w:r>
        <w:rPr>
          <w:rFonts w:ascii="ArialMT" w:hAnsi="ArialMT" w:cs="ArialMT"/>
          <w:szCs w:val="24"/>
        </w:rPr>
        <w:t>tes on the work of internal audit including key findings, issues of concern and action in hand as a result of internal audit work…."</w:t>
      </w:r>
    </w:p>
    <w:p w:rsidR="00D95780" w:rsidRDefault="00372175" w:rsidP="00D95780">
      <w:pPr>
        <w:pStyle w:val="Rparagraph"/>
      </w:pPr>
      <w:r>
        <w:t>The Internal Audit Service's annual programme of work includes work relating to the Pension Fund and the Audit, Risk and Go</w:t>
      </w:r>
      <w:r>
        <w:t>vernance Committee considers both the annual plan and the outcomes of the work done during the year.</w:t>
      </w:r>
    </w:p>
    <w:p w:rsidR="007A0C2B" w:rsidRDefault="00372175" w:rsidP="00D95780">
      <w:pPr>
        <w:pStyle w:val="Rparagraph"/>
      </w:pPr>
      <w:r>
        <w:t xml:space="preserve">This report is therefore presented to the Pension Fund Committee for information regarding the outcomes of the internal audit work done during 2017/18 and </w:t>
      </w:r>
      <w:r>
        <w:t>the work included in the annual plan for 2018/19</w:t>
      </w:r>
      <w:r w:rsidRPr="007A0C2B">
        <w:t xml:space="preserve"> </w:t>
      </w:r>
      <w:r>
        <w:t>relating to the Lancashire County Pension Fund.</w:t>
      </w:r>
    </w:p>
    <w:p w:rsidR="00681518" w:rsidRDefault="00372175" w:rsidP="00D95780">
      <w:pPr>
        <w:pStyle w:val="Rparagraph"/>
      </w:pPr>
      <w:r>
        <w:t>It focusses on the work of the county council's Internal Audit Service but also refers to the work undertaken by Deloitte LLP for the Local Pension Partnership</w:t>
      </w:r>
      <w:r>
        <w:t xml:space="preserve"> Ltd.</w:t>
      </w:r>
    </w:p>
    <w:p w:rsidR="00681518" w:rsidRDefault="00372175">
      <w:pPr>
        <w:rPr>
          <w:rFonts w:ascii="Arial" w:eastAsiaTheme="minorEastAsia" w:hAnsi="Arial"/>
          <w:b/>
          <w:sz w:val="28"/>
        </w:rPr>
      </w:pPr>
      <w:r>
        <w:br w:type="page"/>
      </w:r>
    </w:p>
    <w:p w:rsidR="007A0C2B" w:rsidRDefault="00372175" w:rsidP="007A0C2B">
      <w:pPr>
        <w:pStyle w:val="Rheading"/>
      </w:pPr>
      <w:r>
        <w:lastRenderedPageBreak/>
        <w:t>Internal audit work 2017/18</w:t>
      </w:r>
    </w:p>
    <w:p w:rsidR="007A0C2B" w:rsidRDefault="00372175" w:rsidP="007A0C2B">
      <w:pPr>
        <w:pStyle w:val="Rparagraph"/>
      </w:pPr>
      <w:r>
        <w:t>The work undertaken by the Internal Audit Service and the assurance it provides for 2017/18 are as follows. More details on the findings of the three audits undertaken are set out below.</w:t>
      </w:r>
    </w:p>
    <w:tbl>
      <w:tblPr>
        <w:tblW w:w="8613"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984"/>
      </w:tblGrid>
      <w:tr w:rsidR="007851B9" w:rsidTr="005404F6">
        <w:trPr>
          <w:trHeight w:val="315"/>
          <w:tblHeader/>
        </w:trPr>
        <w:tc>
          <w:tcPr>
            <w:tcW w:w="6629" w:type="dxa"/>
            <w:tcBorders>
              <w:bottom w:val="single" w:sz="4" w:space="0" w:color="auto"/>
            </w:tcBorders>
            <w:shd w:val="clear" w:color="auto" w:fill="D9D9D9" w:themeFill="background1" w:themeFillShade="D9"/>
            <w:noWrap/>
          </w:tcPr>
          <w:p w:rsidR="004224A4" w:rsidRPr="00534482" w:rsidRDefault="00372175" w:rsidP="004613CB">
            <w:pPr>
              <w:spacing w:before="60" w:after="60" w:line="240" w:lineRule="auto"/>
              <w:rPr>
                <w:rFonts w:ascii="Arial" w:eastAsia="Times New Roman" w:hAnsi="Arial" w:cs="Arial"/>
                <w:b/>
                <w:bCs/>
                <w:color w:val="000000"/>
                <w:lang w:eastAsia="en-GB"/>
              </w:rPr>
            </w:pPr>
            <w:r w:rsidRPr="00534482">
              <w:rPr>
                <w:rFonts w:ascii="Arial" w:eastAsia="Times New Roman" w:hAnsi="Arial" w:cs="Arial"/>
                <w:b/>
                <w:bCs/>
                <w:color w:val="000000"/>
                <w:lang w:eastAsia="en-GB"/>
              </w:rPr>
              <w:t>Audit work</w:t>
            </w:r>
          </w:p>
        </w:tc>
        <w:tc>
          <w:tcPr>
            <w:tcW w:w="1984" w:type="dxa"/>
            <w:tcBorders>
              <w:bottom w:val="single" w:sz="4" w:space="0" w:color="auto"/>
            </w:tcBorders>
            <w:shd w:val="clear" w:color="auto" w:fill="D9D9D9" w:themeFill="background1" w:themeFillShade="D9"/>
          </w:tcPr>
          <w:p w:rsidR="004224A4" w:rsidRDefault="00372175" w:rsidP="004613CB">
            <w:pPr>
              <w:spacing w:before="60" w:after="60" w:line="240" w:lineRule="auto"/>
              <w:rPr>
                <w:rFonts w:ascii="Arial" w:eastAsia="Times New Roman" w:hAnsi="Arial" w:cs="Arial"/>
                <w:b/>
                <w:bCs/>
                <w:color w:val="000000"/>
                <w:lang w:eastAsia="en-GB"/>
              </w:rPr>
            </w:pPr>
            <w:r>
              <w:rPr>
                <w:rFonts w:ascii="Arial" w:eastAsia="Times New Roman" w:hAnsi="Arial" w:cs="Arial"/>
                <w:b/>
                <w:bCs/>
                <w:color w:val="000000"/>
                <w:lang w:eastAsia="en-GB"/>
              </w:rPr>
              <w:t>Assurance</w:t>
            </w:r>
          </w:p>
        </w:tc>
      </w:tr>
      <w:tr w:rsidR="007851B9" w:rsidTr="005404F6">
        <w:trPr>
          <w:trHeight w:val="300"/>
        </w:trPr>
        <w:tc>
          <w:tcPr>
            <w:tcW w:w="8613" w:type="dxa"/>
            <w:gridSpan w:val="2"/>
            <w:tcBorders>
              <w:bottom w:val="single" w:sz="4" w:space="0" w:color="auto"/>
            </w:tcBorders>
            <w:shd w:val="clear" w:color="auto" w:fill="auto"/>
            <w:noWrap/>
          </w:tcPr>
          <w:p w:rsidR="00F928B8" w:rsidRPr="004224A4" w:rsidRDefault="00372175" w:rsidP="004613CB">
            <w:pPr>
              <w:spacing w:before="60" w:after="60" w:line="240" w:lineRule="auto"/>
              <w:rPr>
                <w:rFonts w:ascii="Arial" w:eastAsia="Times New Roman" w:hAnsi="Arial" w:cs="Arial"/>
                <w:b/>
                <w:color w:val="000000"/>
                <w:lang w:eastAsia="en-GB"/>
              </w:rPr>
            </w:pPr>
            <w:r w:rsidRPr="004224A4">
              <w:rPr>
                <w:rFonts w:ascii="Arial" w:eastAsia="Times New Roman" w:hAnsi="Arial" w:cs="Arial"/>
                <w:b/>
                <w:color w:val="000000"/>
                <w:lang w:eastAsia="en-GB"/>
              </w:rPr>
              <w:t xml:space="preserve">Oversight of the Lancashire </w:t>
            </w:r>
            <w:r w:rsidRPr="00672C56">
              <w:rPr>
                <w:rFonts w:ascii="Arial" w:eastAsia="Times New Roman" w:hAnsi="Arial" w:cs="Arial"/>
                <w:b/>
                <w:color w:val="000000"/>
                <w:lang w:eastAsia="en-GB"/>
              </w:rPr>
              <w:t xml:space="preserve">County </w:t>
            </w:r>
            <w:r w:rsidRPr="004224A4">
              <w:rPr>
                <w:rFonts w:ascii="Arial" w:eastAsia="Times New Roman" w:hAnsi="Arial" w:cs="Arial"/>
                <w:b/>
                <w:color w:val="000000"/>
                <w:lang w:eastAsia="en-GB"/>
              </w:rPr>
              <w:t>Pension Fund</w:t>
            </w:r>
          </w:p>
        </w:tc>
      </w:tr>
      <w:tr w:rsidR="007851B9" w:rsidTr="005404F6">
        <w:trPr>
          <w:trHeight w:val="300"/>
        </w:trPr>
        <w:tc>
          <w:tcPr>
            <w:tcW w:w="6629" w:type="dxa"/>
            <w:tcBorders>
              <w:bottom w:val="single" w:sz="4" w:space="0" w:color="auto"/>
            </w:tcBorders>
            <w:shd w:val="clear" w:color="auto" w:fill="auto"/>
            <w:noWrap/>
          </w:tcPr>
          <w:p w:rsidR="004224A4" w:rsidRPr="00063264" w:rsidRDefault="00372175" w:rsidP="00672C56">
            <w:pPr>
              <w:spacing w:before="60" w:after="60" w:line="240" w:lineRule="auto"/>
              <w:rPr>
                <w:rFonts w:ascii="Arial" w:eastAsia="Times New Roman" w:hAnsi="Arial" w:cs="Arial"/>
                <w:lang w:eastAsia="en-GB"/>
              </w:rPr>
            </w:pPr>
            <w:r w:rsidRPr="00063264">
              <w:rPr>
                <w:rFonts w:ascii="Arial" w:eastAsia="Times New Roman" w:hAnsi="Arial" w:cs="Arial"/>
                <w:lang w:eastAsia="en-GB"/>
              </w:rPr>
              <w:t>Assessment of the council's governance framework to achieve corporate oversight of the Fund.</w:t>
            </w:r>
          </w:p>
        </w:tc>
        <w:tc>
          <w:tcPr>
            <w:tcW w:w="1984" w:type="dxa"/>
            <w:tcBorders>
              <w:bottom w:val="single" w:sz="4" w:space="0" w:color="auto"/>
            </w:tcBorders>
          </w:tcPr>
          <w:p w:rsidR="004224A4" w:rsidRPr="00063264" w:rsidRDefault="00372175" w:rsidP="004613CB">
            <w:pPr>
              <w:spacing w:before="60" w:after="60" w:line="240" w:lineRule="auto"/>
              <w:rPr>
                <w:rFonts w:ascii="Arial" w:eastAsia="Times New Roman" w:hAnsi="Arial" w:cs="Arial"/>
                <w:lang w:eastAsia="en-GB"/>
              </w:rPr>
            </w:pPr>
            <w:r w:rsidRPr="00063264">
              <w:rPr>
                <w:rFonts w:ascii="Arial" w:eastAsia="Times New Roman" w:hAnsi="Arial" w:cs="Arial"/>
                <w:lang w:eastAsia="en-GB"/>
              </w:rPr>
              <w:t>Substantial</w:t>
            </w:r>
          </w:p>
        </w:tc>
      </w:tr>
      <w:tr w:rsidR="007851B9" w:rsidTr="005404F6">
        <w:trPr>
          <w:trHeight w:val="300"/>
        </w:trPr>
        <w:tc>
          <w:tcPr>
            <w:tcW w:w="6629" w:type="dxa"/>
            <w:tcBorders>
              <w:bottom w:val="single" w:sz="4" w:space="0" w:color="auto"/>
            </w:tcBorders>
            <w:shd w:val="clear" w:color="auto" w:fill="auto"/>
            <w:noWrap/>
          </w:tcPr>
          <w:p w:rsidR="004224A4" w:rsidRPr="00063264" w:rsidRDefault="00372175" w:rsidP="00672C56">
            <w:pPr>
              <w:spacing w:before="60" w:after="60" w:line="240" w:lineRule="auto"/>
              <w:rPr>
                <w:rFonts w:ascii="Arial" w:eastAsia="Times New Roman" w:hAnsi="Arial" w:cs="Arial"/>
                <w:lang w:eastAsia="en-GB"/>
              </w:rPr>
            </w:pPr>
            <w:r w:rsidRPr="00063264">
              <w:rPr>
                <w:rFonts w:ascii="Arial" w:eastAsia="Times New Roman" w:hAnsi="Arial" w:cs="Arial"/>
                <w:lang w:eastAsia="en-GB"/>
              </w:rPr>
              <w:t>Audit of the custodianship of the assets of the Fund.</w:t>
            </w:r>
          </w:p>
        </w:tc>
        <w:tc>
          <w:tcPr>
            <w:tcW w:w="1984" w:type="dxa"/>
            <w:tcBorders>
              <w:bottom w:val="single" w:sz="4" w:space="0" w:color="auto"/>
            </w:tcBorders>
          </w:tcPr>
          <w:p w:rsidR="004224A4" w:rsidRPr="00063264" w:rsidRDefault="00372175" w:rsidP="004613CB">
            <w:pPr>
              <w:spacing w:before="60" w:after="60" w:line="240" w:lineRule="auto"/>
              <w:rPr>
                <w:rFonts w:ascii="Arial" w:eastAsia="Times New Roman" w:hAnsi="Arial" w:cs="Arial"/>
                <w:lang w:eastAsia="en-GB"/>
              </w:rPr>
            </w:pPr>
            <w:r w:rsidRPr="00063264">
              <w:rPr>
                <w:rFonts w:ascii="Arial" w:eastAsia="Times New Roman" w:hAnsi="Arial" w:cs="Arial"/>
                <w:lang w:eastAsia="en-GB"/>
              </w:rPr>
              <w:t>Substantial</w:t>
            </w:r>
          </w:p>
        </w:tc>
      </w:tr>
      <w:tr w:rsidR="007851B9" w:rsidTr="005404F6">
        <w:trPr>
          <w:trHeight w:val="300"/>
        </w:trPr>
        <w:tc>
          <w:tcPr>
            <w:tcW w:w="6629" w:type="dxa"/>
            <w:tcBorders>
              <w:bottom w:val="single" w:sz="4" w:space="0" w:color="auto"/>
            </w:tcBorders>
            <w:shd w:val="clear" w:color="auto" w:fill="auto"/>
            <w:noWrap/>
          </w:tcPr>
          <w:p w:rsidR="004224A4" w:rsidRPr="00063264" w:rsidRDefault="00372175" w:rsidP="00672C56">
            <w:pPr>
              <w:spacing w:before="60" w:after="60" w:line="240" w:lineRule="auto"/>
              <w:rPr>
                <w:rFonts w:ascii="Arial" w:eastAsia="Times New Roman" w:hAnsi="Arial" w:cs="Arial"/>
                <w:lang w:eastAsia="en-GB"/>
              </w:rPr>
            </w:pPr>
            <w:r w:rsidRPr="00063264">
              <w:rPr>
                <w:rFonts w:ascii="Arial" w:eastAsia="Times New Roman" w:hAnsi="Arial" w:cs="Arial"/>
                <w:lang w:eastAsia="en-GB"/>
              </w:rPr>
              <w:t xml:space="preserve">Audit of the council's accounting </w:t>
            </w:r>
            <w:r w:rsidRPr="00063264">
              <w:rPr>
                <w:rFonts w:ascii="Arial" w:eastAsia="Times New Roman" w:hAnsi="Arial" w:cs="Arial"/>
                <w:lang w:eastAsia="en-GB"/>
              </w:rPr>
              <w:t>for the Fund through its general ledger.</w:t>
            </w:r>
          </w:p>
        </w:tc>
        <w:tc>
          <w:tcPr>
            <w:tcW w:w="1984" w:type="dxa"/>
            <w:tcBorders>
              <w:bottom w:val="single" w:sz="4" w:space="0" w:color="auto"/>
            </w:tcBorders>
          </w:tcPr>
          <w:p w:rsidR="004224A4" w:rsidRPr="00063264" w:rsidRDefault="00372175" w:rsidP="004613CB">
            <w:pPr>
              <w:spacing w:before="60" w:after="60" w:line="240" w:lineRule="auto"/>
              <w:rPr>
                <w:rFonts w:ascii="Arial" w:eastAsia="Times New Roman" w:hAnsi="Arial" w:cs="Arial"/>
                <w:lang w:eastAsia="en-GB"/>
              </w:rPr>
            </w:pPr>
            <w:r w:rsidRPr="00063264">
              <w:rPr>
                <w:rFonts w:ascii="Arial" w:eastAsia="Times New Roman" w:hAnsi="Arial" w:cs="Arial"/>
                <w:lang w:eastAsia="en-GB"/>
              </w:rPr>
              <w:t>Full</w:t>
            </w:r>
          </w:p>
        </w:tc>
      </w:tr>
      <w:tr w:rsidR="007851B9" w:rsidTr="005404F6">
        <w:trPr>
          <w:trHeight w:val="300"/>
        </w:trPr>
        <w:tc>
          <w:tcPr>
            <w:tcW w:w="8613" w:type="dxa"/>
            <w:gridSpan w:val="2"/>
            <w:tcBorders>
              <w:bottom w:val="single" w:sz="4" w:space="0" w:color="auto"/>
            </w:tcBorders>
            <w:shd w:val="clear" w:color="auto" w:fill="auto"/>
            <w:noWrap/>
          </w:tcPr>
          <w:p w:rsidR="00F928B8" w:rsidRPr="004224A4" w:rsidRDefault="00372175" w:rsidP="004613CB">
            <w:pPr>
              <w:spacing w:before="60" w:after="60" w:line="240" w:lineRule="auto"/>
              <w:rPr>
                <w:rFonts w:ascii="Arial" w:eastAsia="Times New Roman" w:hAnsi="Arial" w:cs="Arial"/>
                <w:b/>
                <w:color w:val="000000"/>
                <w:lang w:eastAsia="en-GB"/>
              </w:rPr>
            </w:pPr>
            <w:r w:rsidRPr="004224A4">
              <w:rPr>
                <w:rFonts w:ascii="Arial" w:eastAsia="Times New Roman" w:hAnsi="Arial" w:cs="Arial"/>
                <w:b/>
                <w:color w:val="000000"/>
                <w:lang w:eastAsia="en-GB"/>
              </w:rPr>
              <w:t>Obtaining and understanding the assurance provided by the Pension Fund's own internal auditors</w:t>
            </w:r>
          </w:p>
        </w:tc>
      </w:tr>
      <w:tr w:rsidR="007851B9" w:rsidTr="005404F6">
        <w:trPr>
          <w:trHeight w:val="300"/>
        </w:trPr>
        <w:tc>
          <w:tcPr>
            <w:tcW w:w="6629" w:type="dxa"/>
            <w:tcBorders>
              <w:bottom w:val="single" w:sz="4" w:space="0" w:color="auto"/>
            </w:tcBorders>
            <w:shd w:val="clear" w:color="auto" w:fill="auto"/>
            <w:noWrap/>
          </w:tcPr>
          <w:p w:rsidR="004224A4" w:rsidRPr="00CA42F7" w:rsidRDefault="00372175" w:rsidP="00672C56">
            <w:pPr>
              <w:spacing w:before="60" w:after="60" w:line="240" w:lineRule="auto"/>
              <w:rPr>
                <w:rFonts w:ascii="Arial" w:eastAsia="Times New Roman" w:hAnsi="Arial" w:cs="Arial"/>
                <w:lang w:eastAsia="en-GB"/>
              </w:rPr>
            </w:pPr>
            <w:r w:rsidRPr="00DA1651">
              <w:rPr>
                <w:rFonts w:ascii="Arial" w:eastAsia="Times New Roman" w:hAnsi="Arial" w:cs="Arial"/>
                <w:lang w:eastAsia="en-GB"/>
              </w:rPr>
              <w:t xml:space="preserve">Assessment of the assurance proposed and, in due course, provided by Deloitte LLP over the Fund’s administration </w:t>
            </w:r>
            <w:r w:rsidRPr="00DA1651">
              <w:rPr>
                <w:rFonts w:ascii="Arial" w:eastAsia="Times New Roman" w:hAnsi="Arial" w:cs="Arial"/>
                <w:lang w:eastAsia="en-GB"/>
              </w:rPr>
              <w:t>and investment operations outsourced to Local Pensions Partnership</w:t>
            </w:r>
            <w:r>
              <w:rPr>
                <w:rFonts w:ascii="Arial" w:eastAsia="Times New Roman" w:hAnsi="Arial" w:cs="Arial"/>
                <w:lang w:eastAsia="en-GB"/>
              </w:rPr>
              <w:t xml:space="preserve"> Ltd</w:t>
            </w:r>
            <w:r w:rsidRPr="00DA1651">
              <w:rPr>
                <w:rFonts w:ascii="Arial" w:eastAsia="Times New Roman" w:hAnsi="Arial" w:cs="Arial"/>
                <w:lang w:eastAsia="en-GB"/>
              </w:rPr>
              <w:t>.</w:t>
            </w:r>
          </w:p>
        </w:tc>
        <w:tc>
          <w:tcPr>
            <w:tcW w:w="1984" w:type="dxa"/>
            <w:tcBorders>
              <w:bottom w:val="single" w:sz="4" w:space="0" w:color="auto"/>
            </w:tcBorders>
          </w:tcPr>
          <w:p w:rsidR="004224A4" w:rsidRPr="00B62713" w:rsidRDefault="00372175" w:rsidP="004613CB">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Substantial</w:t>
            </w:r>
          </w:p>
        </w:tc>
      </w:tr>
    </w:tbl>
    <w:p w:rsidR="00B40F81" w:rsidRDefault="00372175" w:rsidP="00B40F81">
      <w:pPr>
        <w:pStyle w:val="Rparagraph"/>
        <w:rPr>
          <w:lang w:eastAsia="en-GB"/>
        </w:rPr>
      </w:pPr>
      <w:r>
        <w:rPr>
          <w:lang w:eastAsia="en-GB"/>
        </w:rPr>
        <w:t>Explanations of the assurance provided by the Internal Audit Service are set out in section 5 of this report below.</w:t>
      </w:r>
    </w:p>
    <w:p w:rsidR="004224A4" w:rsidRDefault="00372175" w:rsidP="004224A4">
      <w:pPr>
        <w:pStyle w:val="Rsub-heading"/>
        <w:rPr>
          <w:lang w:eastAsia="en-GB"/>
        </w:rPr>
      </w:pPr>
      <w:r w:rsidRPr="00263D9C">
        <w:rPr>
          <w:lang w:eastAsia="en-GB"/>
        </w:rPr>
        <w:t xml:space="preserve">Oversight of the Lancashire </w:t>
      </w:r>
      <w:r>
        <w:rPr>
          <w:lang w:eastAsia="en-GB"/>
        </w:rPr>
        <w:t xml:space="preserve">County </w:t>
      </w:r>
      <w:r w:rsidRPr="00263D9C">
        <w:rPr>
          <w:lang w:eastAsia="en-GB"/>
        </w:rPr>
        <w:t>Pension Fund</w:t>
      </w:r>
    </w:p>
    <w:p w:rsidR="004224A4" w:rsidRDefault="00372175" w:rsidP="004224A4">
      <w:pPr>
        <w:pStyle w:val="Rparagraph"/>
      </w:pPr>
      <w:r w:rsidRPr="007F7D0E">
        <w:t xml:space="preserve">A framework of controls is in place to ensure that the Fund is properly </w:t>
      </w:r>
      <w:r>
        <w:t>governed</w:t>
      </w:r>
      <w:r w:rsidRPr="007F7D0E">
        <w:t>, and the county council is able to appropriately oversee</w:t>
      </w:r>
      <w:r>
        <w:t xml:space="preserve"> the Fund's </w:t>
      </w:r>
      <w:r w:rsidRPr="007F7D0E">
        <w:t xml:space="preserve">activities </w:t>
      </w:r>
      <w:r w:rsidRPr="00E77E28">
        <w:t>through the Pension Fund Committee and the Lancashire Pension Board both of which include repres</w:t>
      </w:r>
      <w:r w:rsidRPr="00E77E28">
        <w:t xml:space="preserve">entation from the Fund's wider membership as well as the </w:t>
      </w:r>
      <w:r>
        <w:t>c</w:t>
      </w:r>
      <w:r w:rsidRPr="00E77E28">
        <w:t xml:space="preserve">ouncil. The committee takes executive and strategic decisions whilst the board's role is to </w:t>
      </w:r>
      <w:r w:rsidRPr="007F7D0E">
        <w:t xml:space="preserve">ensure that legal and regulatory requirements are complied with, due process is followed, and risks are </w:t>
      </w:r>
      <w:r>
        <w:t>id</w:t>
      </w:r>
      <w:r>
        <w:t>entified and controlled. Both reviewed their terms of reference during 2017, and the committee approved those of the board.</w:t>
      </w:r>
    </w:p>
    <w:p w:rsidR="004224A4" w:rsidRDefault="00372175" w:rsidP="004224A4">
      <w:pPr>
        <w:pStyle w:val="Rparagraph"/>
      </w:pPr>
      <w:r w:rsidRPr="00847084">
        <w:t xml:space="preserve">The control framework includes a </w:t>
      </w:r>
      <w:r>
        <w:t xml:space="preserve">three-year </w:t>
      </w:r>
      <w:r w:rsidRPr="00847084">
        <w:t>strategic plan</w:t>
      </w:r>
      <w:r>
        <w:t xml:space="preserve"> reviewed by the committee, a suite of policies including a governance pol</w:t>
      </w:r>
      <w:r>
        <w:t xml:space="preserve">icy, an actively maintained risk register reviewed by both the committee and board, notification of </w:t>
      </w:r>
      <w:r w:rsidRPr="00BE745F">
        <w:t>impending regulatory changes</w:t>
      </w:r>
      <w:r>
        <w:t xml:space="preserve"> and confirmation of compliance with regulations, quarterly stakeholder meetings and training for committee members. The Fund's </w:t>
      </w:r>
      <w:r w:rsidRPr="00BE745F">
        <w:t>financial performance</w:t>
      </w:r>
      <w:r>
        <w:t xml:space="preserve"> and Local Pension Partnership </w:t>
      </w:r>
      <w:proofErr w:type="spellStart"/>
      <w:r>
        <w:t>Ltd's</w:t>
      </w:r>
      <w:proofErr w:type="spellEnd"/>
      <w:r>
        <w:t xml:space="preserve"> </w:t>
      </w:r>
      <w:r w:rsidRPr="00BE745F">
        <w:t>compliance with key performance indicators</w:t>
      </w:r>
      <w:r>
        <w:t xml:space="preserve"> are presented to the committee quarterly, and meetings of the stakeholders in the partnership are held quarterly.</w:t>
      </w:r>
    </w:p>
    <w:p w:rsidR="004224A4" w:rsidRDefault="00372175" w:rsidP="004224A4">
      <w:pPr>
        <w:pStyle w:val="Rparagraph"/>
      </w:pPr>
      <w:r>
        <w:t>Whilst the committee has not reviewed all</w:t>
      </w:r>
      <w:r>
        <w:t xml:space="preserve"> its policies as intended and not all members take up all offers of training, the governance and oversight framework is actively managed and appropriately implemented.</w:t>
      </w:r>
    </w:p>
    <w:p w:rsidR="00681518" w:rsidRDefault="00372175">
      <w:pPr>
        <w:rPr>
          <w:rFonts w:ascii="Arial" w:eastAsiaTheme="minorEastAsia" w:hAnsi="Arial"/>
          <w:b/>
          <w:sz w:val="24"/>
          <w:lang w:eastAsia="en-GB"/>
        </w:rPr>
      </w:pPr>
      <w:r>
        <w:rPr>
          <w:lang w:eastAsia="en-GB"/>
        </w:rPr>
        <w:br w:type="page"/>
      </w:r>
    </w:p>
    <w:p w:rsidR="004224A4" w:rsidRDefault="00372175" w:rsidP="004224A4">
      <w:pPr>
        <w:pStyle w:val="Rsub-heading"/>
        <w:rPr>
          <w:lang w:eastAsia="en-GB"/>
        </w:rPr>
      </w:pPr>
      <w:r>
        <w:rPr>
          <w:lang w:eastAsia="en-GB"/>
        </w:rPr>
        <w:lastRenderedPageBreak/>
        <w:t>C</w:t>
      </w:r>
      <w:r w:rsidRPr="00106FC1">
        <w:rPr>
          <w:lang w:eastAsia="en-GB"/>
        </w:rPr>
        <w:t>ustodianship of assets</w:t>
      </w:r>
    </w:p>
    <w:p w:rsidR="004224A4" w:rsidRDefault="00372175" w:rsidP="004224A4">
      <w:pPr>
        <w:pStyle w:val="Rparagraph"/>
      </w:pPr>
      <w:r w:rsidRPr="0013643D">
        <w:t xml:space="preserve">To minimise operational investment risk, financial assets are </w:t>
      </w:r>
      <w:r w:rsidRPr="0013643D">
        <w:t>held by a regulated, external custodian who keeps a register of holdings, collects income and distributes monies.</w:t>
      </w:r>
      <w:r>
        <w:t xml:space="preserve"> </w:t>
      </w:r>
      <w:r w:rsidRPr="0013643D">
        <w:t xml:space="preserve">The custodianship contract expires on 31 July 2018 and the </w:t>
      </w:r>
      <w:r>
        <w:t xml:space="preserve">Fund is </w:t>
      </w:r>
      <w:r w:rsidRPr="0013643D">
        <w:t xml:space="preserve">currently procuring a new contract. </w:t>
      </w:r>
      <w:r>
        <w:t>T</w:t>
      </w:r>
      <w:r w:rsidRPr="0013643D">
        <w:t xml:space="preserve">he custodian </w:t>
      </w:r>
      <w:r>
        <w:t xml:space="preserve">previously </w:t>
      </w:r>
      <w:r w:rsidRPr="0013643D">
        <w:t xml:space="preserve">held </w:t>
      </w:r>
      <w:r>
        <w:t xml:space="preserve">a number </w:t>
      </w:r>
      <w:r>
        <w:t xml:space="preserve">of different </w:t>
      </w:r>
      <w:r w:rsidRPr="0013643D">
        <w:t xml:space="preserve">assets on behalf of </w:t>
      </w:r>
      <w:r>
        <w:t xml:space="preserve">the Fund </w:t>
      </w:r>
      <w:r w:rsidRPr="0013643D">
        <w:t xml:space="preserve">but in 2016/17 the global equity portfolio was transitioned into a single pooled vehicle </w:t>
      </w:r>
      <w:r>
        <w:t xml:space="preserve">in which the Fund holds a share. </w:t>
      </w:r>
      <w:r w:rsidRPr="0013643D">
        <w:t xml:space="preserve">As the </w:t>
      </w:r>
      <w:r>
        <w:t>Fund</w:t>
      </w:r>
      <w:r w:rsidRPr="0013643D">
        <w:t xml:space="preserve"> now holds fewer asse</w:t>
      </w:r>
      <w:r>
        <w:t xml:space="preserve">t types </w:t>
      </w:r>
      <w:r w:rsidRPr="0013643D">
        <w:t>the custodian role will focus more on accounting and</w:t>
      </w:r>
      <w:r w:rsidRPr="0013643D">
        <w:t xml:space="preserve"> performance reporting </w:t>
      </w:r>
      <w:r>
        <w:t>in future.</w:t>
      </w:r>
    </w:p>
    <w:p w:rsidR="004224A4" w:rsidRDefault="00372175" w:rsidP="004224A4">
      <w:pPr>
        <w:pStyle w:val="Rparagraph"/>
      </w:pPr>
      <w:r w:rsidRPr="00A07E67">
        <w:t xml:space="preserve">The data provided </w:t>
      </w:r>
      <w:r>
        <w:t xml:space="preserve">by the current custodian </w:t>
      </w:r>
      <w:r w:rsidRPr="00A07E67">
        <w:t>is appropriately reviewed and is reported consistently, reconciliations are undertaken and variances are identified and resolved.</w:t>
      </w:r>
    </w:p>
    <w:p w:rsidR="004224A4" w:rsidRDefault="00372175" w:rsidP="004224A4">
      <w:pPr>
        <w:pStyle w:val="Rsub-heading"/>
        <w:rPr>
          <w:lang w:eastAsia="en-GB"/>
        </w:rPr>
      </w:pPr>
      <w:r w:rsidRPr="008D0BFA">
        <w:rPr>
          <w:lang w:eastAsia="en-GB"/>
        </w:rPr>
        <w:t xml:space="preserve">Accounting for the Pension Fund through </w:t>
      </w:r>
      <w:r>
        <w:rPr>
          <w:lang w:eastAsia="en-GB"/>
        </w:rPr>
        <w:t xml:space="preserve">the </w:t>
      </w:r>
      <w:r>
        <w:rPr>
          <w:lang w:eastAsia="en-GB"/>
        </w:rPr>
        <w:t>council's</w:t>
      </w:r>
      <w:r w:rsidRPr="008D0BFA">
        <w:rPr>
          <w:lang w:eastAsia="en-GB"/>
        </w:rPr>
        <w:t xml:space="preserve"> general ledger </w:t>
      </w:r>
    </w:p>
    <w:p w:rsidR="004224A4" w:rsidRPr="008D0BFA" w:rsidRDefault="00372175" w:rsidP="004224A4">
      <w:pPr>
        <w:pStyle w:val="Rparagraph"/>
      </w:pPr>
      <w:r w:rsidRPr="008D0BFA">
        <w:t>Lancashire County Council is the administering body for the Lancashire County Pension Fund and as such is responsible for its financial accounting arrangements.</w:t>
      </w:r>
      <w:r>
        <w:t xml:space="preserve"> T</w:t>
      </w:r>
      <w:r w:rsidRPr="008D0BFA">
        <w:t>he controls in place to account for the Fund on the council's genera</w:t>
      </w:r>
      <w:r w:rsidRPr="008D0BFA">
        <w:t>l ledger are effectively operated. We considered access to the Oracle Financials system, the management of accounting codes on the ledger, posting and reconciliation of feeder files and sub-ledgers, authorisation of journal entries to the system, clearance</w:t>
      </w:r>
      <w:r w:rsidRPr="008D0BFA">
        <w:t xml:space="preserve"> of suspense accounts and system controls to prevent, correct or report imbalances, errors and invalid postings.</w:t>
      </w:r>
    </w:p>
    <w:p w:rsidR="004224A4" w:rsidRDefault="00372175" w:rsidP="004224A4">
      <w:pPr>
        <w:pStyle w:val="Rparagraph"/>
      </w:pPr>
      <w:r w:rsidRPr="008D0BFA">
        <w:t>We also confirmed that each of the actions agreed during our previous audit in 2016/17 have been implemented.</w:t>
      </w:r>
    </w:p>
    <w:p w:rsidR="00B40F81" w:rsidRDefault="00372175" w:rsidP="00B40F81">
      <w:pPr>
        <w:pStyle w:val="Rheading"/>
      </w:pPr>
      <w:r>
        <w:t>Internal audit work undertaken by</w:t>
      </w:r>
      <w:r>
        <w:t xml:space="preserve"> Deloitte LLP during 2017/18</w:t>
      </w:r>
    </w:p>
    <w:p w:rsidR="008C6F30" w:rsidRPr="00B37BBD" w:rsidRDefault="00372175" w:rsidP="008C6F30">
      <w:pPr>
        <w:pStyle w:val="Rparagraph"/>
      </w:pPr>
      <w:r>
        <w:t>Local Pensions Partnership Ltd has appointed Deloitte LLP as its internal auditor and the committee should note the scope of work undertaken for this service provider to the Lancashire County Pension Fund. Deloitte disclaims an</w:t>
      </w:r>
      <w:r>
        <w:t>y liability to the Council and Lancashire County Pension Fund for any reliance they may place on this work but have agreed that their conclusions may be reported to the Audit, Risk and Governance Committee and Pension Fund Committee.</w:t>
      </w:r>
    </w:p>
    <w:p w:rsidR="005404F6" w:rsidRDefault="00372175" w:rsidP="005404F6">
      <w:pPr>
        <w:pStyle w:val="Rparagraph"/>
      </w:pPr>
      <w:r w:rsidRPr="00C81E7A">
        <w:t>At the time this repor</w:t>
      </w:r>
      <w:r w:rsidRPr="00C81E7A">
        <w:t>t was prepared, Deloitte had completed and reported eight audits under</w:t>
      </w:r>
      <w:r>
        <w:t xml:space="preserve"> the first year of its three-year risk-based audit plan.</w:t>
      </w:r>
    </w:p>
    <w:tbl>
      <w:tblPr>
        <w:tblStyle w:val="TableGrid"/>
        <w:tblW w:w="8636" w:type="dxa"/>
        <w:tblInd w:w="426" w:type="dxa"/>
        <w:tblLayout w:type="fixed"/>
        <w:tblLook w:val="04A0" w:firstRow="1" w:lastRow="0" w:firstColumn="1" w:lastColumn="0" w:noHBand="0" w:noVBand="1"/>
      </w:tblPr>
      <w:tblGrid>
        <w:gridCol w:w="4814"/>
        <w:gridCol w:w="3822"/>
      </w:tblGrid>
      <w:tr w:rsidR="007851B9" w:rsidTr="00094F8C">
        <w:trPr>
          <w:tblHeader/>
        </w:trPr>
        <w:tc>
          <w:tcPr>
            <w:tcW w:w="4814" w:type="dxa"/>
            <w:shd w:val="clear" w:color="auto" w:fill="D9D9D9" w:themeFill="background1" w:themeFillShade="D9"/>
          </w:tcPr>
          <w:p w:rsidR="00B40F81" w:rsidRPr="00B9614A" w:rsidRDefault="00372175" w:rsidP="004613CB">
            <w:pPr>
              <w:pStyle w:val="ListParagraph"/>
              <w:spacing w:before="60" w:after="60"/>
              <w:ind w:left="0"/>
              <w:rPr>
                <w:rFonts w:ascii="Arial" w:hAnsi="Arial" w:cs="Arial"/>
                <w:b/>
                <w:sz w:val="24"/>
                <w:szCs w:val="24"/>
              </w:rPr>
            </w:pPr>
            <w:r>
              <w:rPr>
                <w:rFonts w:ascii="Arial" w:hAnsi="Arial" w:cs="Arial"/>
                <w:b/>
                <w:sz w:val="24"/>
                <w:szCs w:val="24"/>
              </w:rPr>
              <w:t>Control area</w:t>
            </w:r>
          </w:p>
        </w:tc>
        <w:tc>
          <w:tcPr>
            <w:tcW w:w="3822" w:type="dxa"/>
            <w:shd w:val="clear" w:color="auto" w:fill="D9D9D9" w:themeFill="background1" w:themeFillShade="D9"/>
          </w:tcPr>
          <w:p w:rsidR="00B40F81" w:rsidRPr="00B9614A" w:rsidRDefault="00372175" w:rsidP="004613CB">
            <w:pPr>
              <w:pStyle w:val="ListParagraph"/>
              <w:spacing w:before="60" w:after="60"/>
              <w:ind w:left="0"/>
              <w:rPr>
                <w:rFonts w:ascii="Arial" w:hAnsi="Arial" w:cs="Arial"/>
                <w:b/>
                <w:sz w:val="24"/>
                <w:szCs w:val="24"/>
              </w:rPr>
            </w:pPr>
            <w:r w:rsidRPr="00B9614A">
              <w:rPr>
                <w:rFonts w:ascii="Arial" w:hAnsi="Arial" w:cs="Arial"/>
                <w:b/>
                <w:sz w:val="24"/>
                <w:szCs w:val="24"/>
              </w:rPr>
              <w:t>Assurance</w:t>
            </w:r>
          </w:p>
        </w:tc>
      </w:tr>
      <w:tr w:rsidR="007851B9" w:rsidTr="005404F6">
        <w:tc>
          <w:tcPr>
            <w:tcW w:w="8636" w:type="dxa"/>
            <w:gridSpan w:val="2"/>
          </w:tcPr>
          <w:p w:rsidR="00B40F81" w:rsidRPr="002D22F8" w:rsidRDefault="00372175" w:rsidP="004613CB">
            <w:pPr>
              <w:pStyle w:val="ListParagraph"/>
              <w:spacing w:before="60" w:after="60"/>
              <w:ind w:left="0"/>
              <w:rPr>
                <w:rFonts w:ascii="Arial" w:hAnsi="Arial" w:cs="Arial"/>
                <w:b/>
                <w:sz w:val="22"/>
                <w:szCs w:val="22"/>
              </w:rPr>
            </w:pPr>
            <w:r w:rsidRPr="002D22F8">
              <w:rPr>
                <w:rFonts w:ascii="Arial" w:hAnsi="Arial" w:cs="Arial"/>
                <w:b/>
                <w:sz w:val="22"/>
                <w:szCs w:val="22"/>
              </w:rPr>
              <w:t>Lancashire Pension Fund</w:t>
            </w:r>
          </w:p>
        </w:tc>
      </w:tr>
      <w:tr w:rsidR="007851B9" w:rsidTr="00094F8C">
        <w:tc>
          <w:tcPr>
            <w:tcW w:w="4814" w:type="dxa"/>
          </w:tcPr>
          <w:p w:rsidR="00B40F81" w:rsidRDefault="00372175" w:rsidP="004613CB">
            <w:pPr>
              <w:pStyle w:val="ListParagraph"/>
              <w:spacing w:before="60" w:after="60"/>
              <w:ind w:left="0"/>
              <w:rPr>
                <w:rFonts w:ascii="Arial" w:hAnsi="Arial" w:cs="Arial"/>
                <w:sz w:val="22"/>
                <w:szCs w:val="22"/>
              </w:rPr>
            </w:pPr>
            <w:r>
              <w:rPr>
                <w:rFonts w:ascii="Arial" w:hAnsi="Arial" w:cs="Arial"/>
                <w:sz w:val="22"/>
                <w:szCs w:val="22"/>
              </w:rPr>
              <w:t>Benefit administration.</w:t>
            </w:r>
          </w:p>
        </w:tc>
        <w:tc>
          <w:tcPr>
            <w:tcW w:w="3822" w:type="dxa"/>
          </w:tcPr>
          <w:p w:rsidR="00B40F81" w:rsidRPr="002D22F8" w:rsidRDefault="00372175" w:rsidP="004613CB">
            <w:pPr>
              <w:pStyle w:val="ListParagraph"/>
              <w:spacing w:before="60" w:after="60"/>
              <w:ind w:left="0"/>
              <w:rPr>
                <w:rFonts w:ascii="Arial" w:hAnsi="Arial" w:cs="Arial"/>
                <w:sz w:val="22"/>
                <w:szCs w:val="22"/>
              </w:rPr>
            </w:pPr>
            <w:r>
              <w:rPr>
                <w:rFonts w:ascii="Arial" w:hAnsi="Arial" w:cs="Arial"/>
                <w:sz w:val="22"/>
                <w:szCs w:val="22"/>
              </w:rPr>
              <w:t>Effective</w:t>
            </w:r>
          </w:p>
        </w:tc>
      </w:tr>
      <w:tr w:rsidR="007851B9" w:rsidTr="00094F8C">
        <w:tc>
          <w:tcPr>
            <w:tcW w:w="4814" w:type="dxa"/>
          </w:tcPr>
          <w:p w:rsidR="005404F6" w:rsidRPr="00F5345E" w:rsidRDefault="00372175" w:rsidP="006B44E8">
            <w:pPr>
              <w:pStyle w:val="ListParagraph"/>
              <w:spacing w:before="60" w:after="60"/>
              <w:ind w:left="0"/>
              <w:rPr>
                <w:rFonts w:ascii="Arial" w:hAnsi="Arial" w:cs="Arial"/>
              </w:rPr>
            </w:pPr>
            <w:r>
              <w:rPr>
                <w:rFonts w:ascii="Arial" w:hAnsi="Arial" w:cs="Arial"/>
                <w:sz w:val="22"/>
                <w:szCs w:val="22"/>
              </w:rPr>
              <w:t>Governance.</w:t>
            </w:r>
          </w:p>
        </w:tc>
        <w:tc>
          <w:tcPr>
            <w:tcW w:w="3822" w:type="dxa"/>
          </w:tcPr>
          <w:p w:rsidR="005404F6" w:rsidRPr="002D22F8" w:rsidRDefault="00372175" w:rsidP="006B44E8">
            <w:pPr>
              <w:pStyle w:val="ListParagraph"/>
              <w:spacing w:before="60" w:after="60"/>
              <w:ind w:left="0"/>
              <w:rPr>
                <w:rFonts w:ascii="Arial" w:hAnsi="Arial" w:cs="Arial"/>
                <w:sz w:val="22"/>
                <w:szCs w:val="22"/>
              </w:rPr>
            </w:pPr>
            <w:r w:rsidRPr="002D22F8">
              <w:rPr>
                <w:rFonts w:ascii="Arial" w:hAnsi="Arial" w:cs="Arial"/>
                <w:sz w:val="22"/>
                <w:szCs w:val="22"/>
              </w:rPr>
              <w:t xml:space="preserve">Effective with scope for </w:t>
            </w:r>
            <w:r w:rsidRPr="002D22F8">
              <w:rPr>
                <w:rFonts w:ascii="Arial" w:hAnsi="Arial" w:cs="Arial"/>
                <w:sz w:val="22"/>
                <w:szCs w:val="22"/>
              </w:rPr>
              <w:t>improvement</w:t>
            </w:r>
          </w:p>
        </w:tc>
      </w:tr>
      <w:tr w:rsidR="007851B9" w:rsidTr="00094F8C">
        <w:tc>
          <w:tcPr>
            <w:tcW w:w="4814" w:type="dxa"/>
          </w:tcPr>
          <w:p w:rsidR="005404F6" w:rsidRPr="00F5345E" w:rsidRDefault="00372175" w:rsidP="00022AB3">
            <w:pPr>
              <w:pStyle w:val="ListParagraph"/>
              <w:spacing w:before="60" w:after="60"/>
              <w:ind w:left="0"/>
              <w:rPr>
                <w:rFonts w:ascii="Arial" w:hAnsi="Arial" w:cs="Arial"/>
              </w:rPr>
            </w:pPr>
            <w:r>
              <w:rPr>
                <w:rFonts w:ascii="Arial" w:hAnsi="Arial" w:cs="Arial"/>
                <w:sz w:val="22"/>
                <w:szCs w:val="22"/>
              </w:rPr>
              <w:t>Investment governance.</w:t>
            </w:r>
          </w:p>
        </w:tc>
        <w:tc>
          <w:tcPr>
            <w:tcW w:w="3822" w:type="dxa"/>
          </w:tcPr>
          <w:p w:rsidR="005404F6" w:rsidRPr="002D22F8" w:rsidRDefault="00372175" w:rsidP="00022AB3">
            <w:pPr>
              <w:pStyle w:val="ListParagraph"/>
              <w:spacing w:before="60" w:after="60"/>
              <w:ind w:left="0"/>
              <w:rPr>
                <w:rFonts w:ascii="Arial" w:hAnsi="Arial" w:cs="Arial"/>
                <w:sz w:val="22"/>
                <w:szCs w:val="22"/>
              </w:rPr>
            </w:pPr>
            <w:r w:rsidRPr="002D22F8">
              <w:rPr>
                <w:rFonts w:ascii="Arial" w:hAnsi="Arial" w:cs="Arial"/>
                <w:sz w:val="22"/>
                <w:szCs w:val="22"/>
              </w:rPr>
              <w:t>Effective with scope for improvement</w:t>
            </w:r>
          </w:p>
        </w:tc>
      </w:tr>
      <w:tr w:rsidR="007851B9" w:rsidTr="00094F8C">
        <w:tc>
          <w:tcPr>
            <w:tcW w:w="4814" w:type="dxa"/>
          </w:tcPr>
          <w:p w:rsidR="005404F6" w:rsidRPr="002D22F8" w:rsidRDefault="00372175" w:rsidP="004678B4">
            <w:pPr>
              <w:pStyle w:val="ListParagraph"/>
              <w:spacing w:before="60" w:after="60"/>
              <w:ind w:left="0"/>
              <w:rPr>
                <w:rFonts w:ascii="Arial" w:hAnsi="Arial" w:cs="Arial"/>
                <w:sz w:val="22"/>
                <w:szCs w:val="22"/>
              </w:rPr>
            </w:pPr>
            <w:r w:rsidRPr="002D22F8">
              <w:rPr>
                <w:rFonts w:ascii="Arial" w:hAnsi="Arial" w:cs="Arial"/>
                <w:sz w:val="22"/>
                <w:szCs w:val="22"/>
              </w:rPr>
              <w:t xml:space="preserve">Oversight of LPPL's business </w:t>
            </w:r>
            <w:r>
              <w:rPr>
                <w:rFonts w:ascii="Arial" w:hAnsi="Arial" w:cs="Arial"/>
                <w:sz w:val="22"/>
                <w:szCs w:val="22"/>
              </w:rPr>
              <w:t xml:space="preserve">and </w:t>
            </w:r>
            <w:r w:rsidRPr="002D22F8">
              <w:rPr>
                <w:rFonts w:ascii="Arial" w:hAnsi="Arial" w:cs="Arial"/>
                <w:sz w:val="22"/>
                <w:szCs w:val="22"/>
              </w:rPr>
              <w:t>transformation change</w:t>
            </w:r>
            <w:r>
              <w:rPr>
                <w:rFonts w:ascii="Arial" w:hAnsi="Arial" w:cs="Arial"/>
                <w:sz w:val="22"/>
                <w:szCs w:val="22"/>
              </w:rPr>
              <w:t xml:space="preserve"> (phase 1)</w:t>
            </w:r>
            <w:r w:rsidRPr="002D22F8">
              <w:rPr>
                <w:rFonts w:ascii="Arial" w:hAnsi="Arial" w:cs="Arial"/>
                <w:sz w:val="22"/>
                <w:szCs w:val="22"/>
              </w:rPr>
              <w:t>.</w:t>
            </w:r>
          </w:p>
        </w:tc>
        <w:tc>
          <w:tcPr>
            <w:tcW w:w="3822" w:type="dxa"/>
          </w:tcPr>
          <w:p w:rsidR="005404F6" w:rsidRPr="002D22F8" w:rsidRDefault="00372175" w:rsidP="004678B4">
            <w:pPr>
              <w:pStyle w:val="ListParagraph"/>
              <w:spacing w:before="60" w:after="60"/>
              <w:ind w:left="0"/>
              <w:rPr>
                <w:rFonts w:ascii="Arial" w:hAnsi="Arial" w:cs="Arial"/>
                <w:sz w:val="22"/>
                <w:szCs w:val="22"/>
              </w:rPr>
            </w:pPr>
            <w:r w:rsidRPr="002D22F8">
              <w:rPr>
                <w:rFonts w:ascii="Arial" w:hAnsi="Arial" w:cs="Arial"/>
                <w:sz w:val="22"/>
                <w:szCs w:val="22"/>
              </w:rPr>
              <w:t>Effective with scope for improvement</w:t>
            </w:r>
          </w:p>
        </w:tc>
      </w:tr>
      <w:tr w:rsidR="007851B9" w:rsidTr="00094F8C">
        <w:tc>
          <w:tcPr>
            <w:tcW w:w="4814" w:type="dxa"/>
          </w:tcPr>
          <w:p w:rsidR="005404F6" w:rsidRDefault="00372175" w:rsidP="004A15A1">
            <w:pPr>
              <w:pStyle w:val="ListParagraph"/>
              <w:spacing w:before="60" w:after="60"/>
              <w:ind w:left="0"/>
              <w:rPr>
                <w:rFonts w:ascii="Arial" w:hAnsi="Arial" w:cs="Arial"/>
                <w:sz w:val="22"/>
                <w:szCs w:val="22"/>
              </w:rPr>
            </w:pPr>
            <w:r>
              <w:rPr>
                <w:rFonts w:ascii="Arial" w:hAnsi="Arial" w:cs="Arial"/>
                <w:sz w:val="22"/>
                <w:szCs w:val="22"/>
              </w:rPr>
              <w:t>General IT controls operating over the Altair and Access Dimensions systems.</w:t>
            </w:r>
          </w:p>
        </w:tc>
        <w:tc>
          <w:tcPr>
            <w:tcW w:w="3822" w:type="dxa"/>
          </w:tcPr>
          <w:p w:rsidR="005404F6" w:rsidRPr="002D22F8" w:rsidRDefault="00372175" w:rsidP="004A15A1">
            <w:pPr>
              <w:pStyle w:val="ListParagraph"/>
              <w:spacing w:before="60" w:after="60"/>
              <w:ind w:left="0"/>
              <w:rPr>
                <w:rFonts w:ascii="Arial" w:hAnsi="Arial" w:cs="Arial"/>
                <w:sz w:val="22"/>
                <w:szCs w:val="22"/>
              </w:rPr>
            </w:pPr>
            <w:r w:rsidRPr="002D22F8">
              <w:rPr>
                <w:rFonts w:ascii="Arial" w:hAnsi="Arial" w:cs="Arial"/>
                <w:sz w:val="22"/>
                <w:szCs w:val="22"/>
              </w:rPr>
              <w:t>Effective with scope for improvement</w:t>
            </w:r>
          </w:p>
        </w:tc>
      </w:tr>
      <w:tr w:rsidR="007851B9" w:rsidTr="00094F8C">
        <w:tc>
          <w:tcPr>
            <w:tcW w:w="4814" w:type="dxa"/>
          </w:tcPr>
          <w:p w:rsidR="005404F6" w:rsidRPr="00C642C0" w:rsidRDefault="00372175" w:rsidP="00783B77">
            <w:pPr>
              <w:pStyle w:val="ListParagraph"/>
              <w:spacing w:before="60" w:after="60"/>
              <w:ind w:left="0"/>
              <w:rPr>
                <w:rFonts w:ascii="Arial" w:hAnsi="Arial" w:cs="Arial"/>
                <w:sz w:val="22"/>
                <w:szCs w:val="22"/>
              </w:rPr>
            </w:pPr>
            <w:r>
              <w:rPr>
                <w:rFonts w:ascii="Arial" w:hAnsi="Arial" w:cs="Arial"/>
                <w:sz w:val="22"/>
                <w:szCs w:val="22"/>
              </w:rPr>
              <w:lastRenderedPageBreak/>
              <w:t>C</w:t>
            </w:r>
            <w:r w:rsidRPr="002D22F8">
              <w:rPr>
                <w:rFonts w:ascii="Arial" w:hAnsi="Arial" w:cs="Arial"/>
                <w:sz w:val="22"/>
                <w:szCs w:val="22"/>
              </w:rPr>
              <w:t>ore systems and infrastructure migration</w:t>
            </w:r>
            <w:r>
              <w:rPr>
                <w:rFonts w:ascii="Arial" w:hAnsi="Arial" w:cs="Arial"/>
                <w:sz w:val="22"/>
                <w:szCs w:val="22"/>
              </w:rPr>
              <w:t xml:space="preserve"> (phase 1)</w:t>
            </w:r>
            <w:r w:rsidRPr="002D22F8">
              <w:rPr>
                <w:rFonts w:ascii="Arial" w:hAnsi="Arial" w:cs="Arial"/>
                <w:sz w:val="22"/>
                <w:szCs w:val="22"/>
              </w:rPr>
              <w:t>.</w:t>
            </w:r>
          </w:p>
        </w:tc>
        <w:tc>
          <w:tcPr>
            <w:tcW w:w="3822" w:type="dxa"/>
          </w:tcPr>
          <w:p w:rsidR="005404F6" w:rsidRPr="002D22F8" w:rsidRDefault="00372175" w:rsidP="00783B77">
            <w:pPr>
              <w:pStyle w:val="ListParagraph"/>
              <w:spacing w:before="60" w:after="60"/>
              <w:ind w:left="0"/>
              <w:rPr>
                <w:rFonts w:ascii="Arial" w:hAnsi="Arial" w:cs="Arial"/>
                <w:sz w:val="22"/>
                <w:szCs w:val="22"/>
              </w:rPr>
            </w:pPr>
            <w:r w:rsidRPr="002D22F8">
              <w:rPr>
                <w:rFonts w:ascii="Arial" w:hAnsi="Arial" w:cs="Arial"/>
                <w:sz w:val="22"/>
                <w:szCs w:val="22"/>
              </w:rPr>
              <w:t>Effective with scope for improvement</w:t>
            </w:r>
          </w:p>
        </w:tc>
      </w:tr>
      <w:tr w:rsidR="007851B9" w:rsidTr="00094F8C">
        <w:tc>
          <w:tcPr>
            <w:tcW w:w="4814" w:type="dxa"/>
          </w:tcPr>
          <w:p w:rsidR="00B40F81" w:rsidRDefault="00372175" w:rsidP="004613CB">
            <w:pPr>
              <w:pStyle w:val="ListParagraph"/>
              <w:spacing w:before="60" w:after="60"/>
              <w:ind w:left="0"/>
              <w:rPr>
                <w:rFonts w:ascii="Arial" w:hAnsi="Arial" w:cs="Arial"/>
                <w:sz w:val="22"/>
                <w:szCs w:val="22"/>
              </w:rPr>
            </w:pPr>
            <w:r>
              <w:rPr>
                <w:rFonts w:ascii="Arial" w:hAnsi="Arial" w:cs="Arial"/>
                <w:sz w:val="22"/>
                <w:szCs w:val="22"/>
              </w:rPr>
              <w:t>Oversight of administration business transformation (phase 1).</w:t>
            </w:r>
          </w:p>
        </w:tc>
        <w:tc>
          <w:tcPr>
            <w:tcW w:w="3822" w:type="dxa"/>
          </w:tcPr>
          <w:p w:rsidR="00B40F81" w:rsidRPr="002D22F8" w:rsidRDefault="00372175" w:rsidP="004613CB">
            <w:pPr>
              <w:pStyle w:val="ListParagraph"/>
              <w:spacing w:before="60" w:after="60"/>
              <w:ind w:left="0"/>
              <w:rPr>
                <w:rFonts w:ascii="Arial" w:hAnsi="Arial" w:cs="Arial"/>
                <w:sz w:val="22"/>
                <w:szCs w:val="22"/>
              </w:rPr>
            </w:pPr>
            <w:r w:rsidRPr="002D22F8">
              <w:rPr>
                <w:rFonts w:ascii="Arial" w:hAnsi="Arial" w:cs="Arial"/>
                <w:sz w:val="22"/>
                <w:szCs w:val="22"/>
              </w:rPr>
              <w:t>Effective with scope for improvement</w:t>
            </w:r>
          </w:p>
        </w:tc>
      </w:tr>
      <w:tr w:rsidR="007851B9" w:rsidTr="00094F8C">
        <w:tc>
          <w:tcPr>
            <w:tcW w:w="4814" w:type="dxa"/>
          </w:tcPr>
          <w:p w:rsidR="00B40F81" w:rsidRDefault="00372175" w:rsidP="00094F8C">
            <w:pPr>
              <w:pStyle w:val="ListParagraph"/>
              <w:spacing w:before="60" w:after="60"/>
              <w:ind w:left="0"/>
              <w:rPr>
                <w:rFonts w:ascii="Arial" w:hAnsi="Arial" w:cs="Arial"/>
                <w:sz w:val="22"/>
                <w:szCs w:val="22"/>
              </w:rPr>
            </w:pPr>
            <w:r>
              <w:rPr>
                <w:rFonts w:ascii="Arial" w:hAnsi="Arial" w:cs="Arial"/>
                <w:sz w:val="22"/>
                <w:szCs w:val="22"/>
              </w:rPr>
              <w:t xml:space="preserve">Financial closing and </w:t>
            </w:r>
            <w:r>
              <w:rPr>
                <w:rFonts w:ascii="Arial" w:hAnsi="Arial" w:cs="Arial"/>
                <w:sz w:val="22"/>
                <w:szCs w:val="22"/>
              </w:rPr>
              <w:t>reporting.</w:t>
            </w:r>
          </w:p>
        </w:tc>
        <w:tc>
          <w:tcPr>
            <w:tcW w:w="3822" w:type="dxa"/>
          </w:tcPr>
          <w:p w:rsidR="00B40F81" w:rsidRDefault="00372175" w:rsidP="004613CB">
            <w:pPr>
              <w:pStyle w:val="ListParagraph"/>
              <w:spacing w:before="60" w:after="60"/>
              <w:ind w:left="0"/>
              <w:rPr>
                <w:rFonts w:ascii="Arial" w:hAnsi="Arial" w:cs="Arial"/>
                <w:sz w:val="22"/>
                <w:szCs w:val="22"/>
              </w:rPr>
            </w:pPr>
            <w:r w:rsidRPr="002D22F8">
              <w:rPr>
                <w:rFonts w:ascii="Arial" w:hAnsi="Arial" w:cs="Arial"/>
                <w:sz w:val="22"/>
                <w:szCs w:val="22"/>
              </w:rPr>
              <w:t>Effective with scope for improvement</w:t>
            </w:r>
          </w:p>
        </w:tc>
      </w:tr>
    </w:tbl>
    <w:p w:rsidR="00F928B8" w:rsidRDefault="00372175" w:rsidP="00C07CD8">
      <w:pPr>
        <w:pStyle w:val="Rheading"/>
      </w:pPr>
      <w:bookmarkStart w:id="0" w:name="_GoBack"/>
      <w:bookmarkEnd w:id="0"/>
      <w:r>
        <w:t>Internal audit plan 2018/19</w:t>
      </w:r>
    </w:p>
    <w:p w:rsidR="00C07CD8" w:rsidRDefault="00372175" w:rsidP="00672C56">
      <w:pPr>
        <w:pStyle w:val="Rparagraph"/>
      </w:pPr>
      <w:r>
        <w:t xml:space="preserve">The </w:t>
      </w:r>
      <w:r>
        <w:t>following work relating to the Lancashire County Pension Fund has been included on the audit plan for the county council in 2018/19.</w:t>
      </w:r>
    </w:p>
    <w:tbl>
      <w:tblPr>
        <w:tblW w:w="8613"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4819"/>
      </w:tblGrid>
      <w:tr w:rsidR="007851B9" w:rsidTr="00094F8C">
        <w:trPr>
          <w:trHeight w:val="315"/>
          <w:tblHeader/>
        </w:trPr>
        <w:tc>
          <w:tcPr>
            <w:tcW w:w="3794" w:type="dxa"/>
            <w:shd w:val="clear" w:color="auto" w:fill="D9D9D9" w:themeFill="background1" w:themeFillShade="D9"/>
          </w:tcPr>
          <w:p w:rsidR="00C07CD8" w:rsidRPr="00276A31" w:rsidRDefault="00372175" w:rsidP="004613CB">
            <w:pPr>
              <w:spacing w:before="40" w:after="40" w:line="240" w:lineRule="auto"/>
              <w:rPr>
                <w:rFonts w:ascii="Arial" w:eastAsia="Times New Roman" w:hAnsi="Arial" w:cs="Arial"/>
                <w:b/>
                <w:bCs/>
                <w:color w:val="000000"/>
                <w:sz w:val="24"/>
                <w:szCs w:val="24"/>
                <w:lang w:eastAsia="en-GB"/>
              </w:rPr>
            </w:pPr>
            <w:r w:rsidRPr="00276A31">
              <w:rPr>
                <w:rFonts w:ascii="Arial" w:eastAsia="Times New Roman" w:hAnsi="Arial" w:cs="Arial"/>
                <w:b/>
                <w:bCs/>
                <w:color w:val="000000"/>
                <w:sz w:val="24"/>
                <w:szCs w:val="24"/>
                <w:lang w:eastAsia="en-GB"/>
              </w:rPr>
              <w:t>Operational area of activity</w:t>
            </w:r>
          </w:p>
        </w:tc>
        <w:tc>
          <w:tcPr>
            <w:tcW w:w="4819" w:type="dxa"/>
            <w:shd w:val="clear" w:color="auto" w:fill="D9D9D9" w:themeFill="background1" w:themeFillShade="D9"/>
            <w:noWrap/>
          </w:tcPr>
          <w:p w:rsidR="00C07CD8" w:rsidRPr="00276A31" w:rsidRDefault="00372175" w:rsidP="004613CB">
            <w:pPr>
              <w:spacing w:before="40" w:after="40" w:line="240" w:lineRule="auto"/>
              <w:rPr>
                <w:rFonts w:ascii="Arial" w:eastAsia="Times New Roman" w:hAnsi="Arial" w:cs="Arial"/>
                <w:b/>
                <w:bCs/>
                <w:color w:val="000000"/>
                <w:sz w:val="24"/>
                <w:szCs w:val="24"/>
                <w:lang w:eastAsia="en-GB"/>
              </w:rPr>
            </w:pPr>
            <w:r w:rsidRPr="00276A31">
              <w:rPr>
                <w:rFonts w:ascii="Arial" w:eastAsia="Times New Roman" w:hAnsi="Arial" w:cs="Arial"/>
                <w:b/>
                <w:bCs/>
                <w:color w:val="000000"/>
                <w:sz w:val="24"/>
                <w:szCs w:val="24"/>
                <w:lang w:eastAsia="en-GB"/>
              </w:rPr>
              <w:t>Audit work</w:t>
            </w:r>
          </w:p>
        </w:tc>
      </w:tr>
      <w:tr w:rsidR="007851B9" w:rsidTr="00094F8C">
        <w:trPr>
          <w:trHeight w:val="64"/>
        </w:trPr>
        <w:tc>
          <w:tcPr>
            <w:tcW w:w="3794" w:type="dxa"/>
            <w:tcBorders>
              <w:bottom w:val="single" w:sz="4" w:space="0" w:color="auto"/>
            </w:tcBorders>
            <w:shd w:val="clear" w:color="auto" w:fill="auto"/>
            <w:hideMark/>
          </w:tcPr>
          <w:p w:rsidR="00C07CD8" w:rsidRPr="00E15FEC" w:rsidRDefault="00372175" w:rsidP="004613CB">
            <w:pPr>
              <w:spacing w:before="40" w:after="40" w:line="240" w:lineRule="auto"/>
              <w:rPr>
                <w:rFonts w:ascii="Arial" w:eastAsia="Times New Roman" w:hAnsi="Arial" w:cs="Arial"/>
                <w:color w:val="000000"/>
                <w:lang w:eastAsia="en-GB"/>
              </w:rPr>
            </w:pPr>
            <w:r w:rsidRPr="00E15FEC">
              <w:rPr>
                <w:rFonts w:ascii="Arial" w:eastAsia="Times New Roman" w:hAnsi="Arial" w:cs="Arial"/>
                <w:color w:val="000000"/>
                <w:lang w:eastAsia="en-GB"/>
              </w:rPr>
              <w:t xml:space="preserve">Oversight of the Lancashire </w:t>
            </w:r>
            <w:r>
              <w:rPr>
                <w:rFonts w:ascii="Arial" w:eastAsia="Times New Roman" w:hAnsi="Arial" w:cs="Arial"/>
                <w:color w:val="000000"/>
                <w:lang w:eastAsia="en-GB"/>
              </w:rPr>
              <w:t xml:space="preserve">County </w:t>
            </w:r>
            <w:r w:rsidRPr="00E15FEC">
              <w:rPr>
                <w:rFonts w:ascii="Arial" w:eastAsia="Times New Roman" w:hAnsi="Arial" w:cs="Arial"/>
                <w:color w:val="000000"/>
                <w:lang w:eastAsia="en-GB"/>
              </w:rPr>
              <w:t>Pension Fund.</w:t>
            </w:r>
          </w:p>
        </w:tc>
        <w:tc>
          <w:tcPr>
            <w:tcW w:w="4819" w:type="dxa"/>
            <w:tcBorders>
              <w:bottom w:val="single" w:sz="4" w:space="0" w:color="auto"/>
            </w:tcBorders>
            <w:shd w:val="clear" w:color="auto" w:fill="auto"/>
            <w:hideMark/>
          </w:tcPr>
          <w:p w:rsidR="00C07CD8" w:rsidRPr="00E15FEC" w:rsidRDefault="00372175" w:rsidP="004613CB">
            <w:pPr>
              <w:spacing w:before="40" w:after="40" w:line="240" w:lineRule="auto"/>
              <w:rPr>
                <w:rFonts w:ascii="Arial" w:eastAsia="Times New Roman" w:hAnsi="Arial" w:cs="Arial"/>
                <w:color w:val="000000"/>
                <w:lang w:eastAsia="en-GB"/>
              </w:rPr>
            </w:pPr>
            <w:r w:rsidRPr="00E15FEC">
              <w:rPr>
                <w:rFonts w:ascii="Arial" w:eastAsia="Times New Roman" w:hAnsi="Arial" w:cs="Arial"/>
                <w:color w:val="000000"/>
                <w:lang w:eastAsia="en-GB"/>
              </w:rPr>
              <w:t>Follow up of 2017/18 audit</w:t>
            </w:r>
            <w:r>
              <w:rPr>
                <w:rFonts w:ascii="Arial" w:eastAsia="Times New Roman" w:hAnsi="Arial" w:cs="Arial"/>
                <w:color w:val="000000"/>
                <w:lang w:eastAsia="en-GB"/>
              </w:rPr>
              <w:t xml:space="preserve"> work.</w:t>
            </w:r>
          </w:p>
        </w:tc>
      </w:tr>
      <w:tr w:rsidR="007851B9" w:rsidTr="00094F8C">
        <w:trPr>
          <w:trHeight w:val="205"/>
        </w:trPr>
        <w:tc>
          <w:tcPr>
            <w:tcW w:w="3794" w:type="dxa"/>
            <w:shd w:val="clear" w:color="auto" w:fill="auto"/>
            <w:hideMark/>
          </w:tcPr>
          <w:p w:rsidR="00C07CD8" w:rsidRPr="00196180" w:rsidRDefault="00372175" w:rsidP="00672C56">
            <w:pPr>
              <w:spacing w:before="40" w:after="40" w:line="240" w:lineRule="auto"/>
              <w:rPr>
                <w:rFonts w:ascii="Arial" w:eastAsia="Times New Roman" w:hAnsi="Arial" w:cs="Arial"/>
                <w:color w:val="000000"/>
                <w:lang w:eastAsia="en-GB"/>
              </w:rPr>
            </w:pPr>
            <w:r w:rsidRPr="00196180">
              <w:rPr>
                <w:rFonts w:ascii="Arial" w:eastAsia="Times New Roman" w:hAnsi="Arial" w:cs="Arial"/>
                <w:color w:val="000000"/>
                <w:lang w:eastAsia="en-GB"/>
              </w:rPr>
              <w:t>Performance management in the Fund</w:t>
            </w:r>
          </w:p>
        </w:tc>
        <w:tc>
          <w:tcPr>
            <w:tcW w:w="4819" w:type="dxa"/>
            <w:shd w:val="clear" w:color="auto" w:fill="auto"/>
            <w:hideMark/>
          </w:tcPr>
          <w:p w:rsidR="00C07CD8" w:rsidRPr="00196180" w:rsidRDefault="00372175" w:rsidP="004613CB">
            <w:pPr>
              <w:spacing w:before="40" w:after="40" w:line="240" w:lineRule="auto"/>
              <w:rPr>
                <w:rFonts w:ascii="Arial" w:eastAsia="Times New Roman" w:hAnsi="Arial" w:cs="Arial"/>
                <w:color w:val="000000"/>
                <w:lang w:eastAsia="en-GB"/>
              </w:rPr>
            </w:pPr>
            <w:r w:rsidRPr="00196180">
              <w:rPr>
                <w:rFonts w:ascii="Arial" w:eastAsia="Times New Roman" w:hAnsi="Arial" w:cs="Arial"/>
                <w:color w:val="000000"/>
                <w:lang w:eastAsia="en-GB"/>
              </w:rPr>
              <w:t xml:space="preserve">Audit of the adequacy and effectiveness of performance management arrangements including reporting and data quality. </w:t>
            </w:r>
          </w:p>
        </w:tc>
      </w:tr>
      <w:tr w:rsidR="007851B9" w:rsidTr="00094F8C">
        <w:trPr>
          <w:trHeight w:val="552"/>
        </w:trPr>
        <w:tc>
          <w:tcPr>
            <w:tcW w:w="3794" w:type="dxa"/>
            <w:tcBorders>
              <w:bottom w:val="single" w:sz="4" w:space="0" w:color="auto"/>
            </w:tcBorders>
            <w:shd w:val="clear" w:color="auto" w:fill="auto"/>
            <w:hideMark/>
          </w:tcPr>
          <w:p w:rsidR="00C07CD8" w:rsidRPr="006C471D" w:rsidRDefault="00372175" w:rsidP="00672C56">
            <w:pPr>
              <w:spacing w:before="40" w:after="40" w:line="240" w:lineRule="auto"/>
              <w:rPr>
                <w:rFonts w:ascii="Arial" w:eastAsia="Times New Roman" w:hAnsi="Arial" w:cs="Arial"/>
                <w:color w:val="000000"/>
                <w:lang w:eastAsia="en-GB"/>
              </w:rPr>
            </w:pPr>
            <w:r w:rsidRPr="006C471D">
              <w:rPr>
                <w:rFonts w:ascii="Arial" w:eastAsia="Times New Roman" w:hAnsi="Arial" w:cs="Arial"/>
                <w:color w:val="000000"/>
                <w:lang w:eastAsia="en-GB"/>
              </w:rPr>
              <w:t>New custodianship arrangements for the Fund</w:t>
            </w:r>
          </w:p>
        </w:tc>
        <w:tc>
          <w:tcPr>
            <w:tcW w:w="4819" w:type="dxa"/>
            <w:tcBorders>
              <w:bottom w:val="single" w:sz="4" w:space="0" w:color="auto"/>
            </w:tcBorders>
            <w:shd w:val="clear" w:color="auto" w:fill="auto"/>
            <w:hideMark/>
          </w:tcPr>
          <w:p w:rsidR="00C07CD8" w:rsidRPr="006C471D" w:rsidRDefault="00372175" w:rsidP="004613CB">
            <w:pPr>
              <w:spacing w:before="40" w:after="40" w:line="240" w:lineRule="auto"/>
              <w:rPr>
                <w:rFonts w:ascii="Arial" w:eastAsia="Times New Roman" w:hAnsi="Arial" w:cs="Arial"/>
                <w:color w:val="000000"/>
                <w:lang w:eastAsia="en-GB"/>
              </w:rPr>
            </w:pPr>
            <w:r w:rsidRPr="006C471D">
              <w:rPr>
                <w:rFonts w:ascii="Arial" w:eastAsia="Times New Roman" w:hAnsi="Arial" w:cs="Arial"/>
                <w:color w:val="000000"/>
                <w:lang w:eastAsia="en-GB"/>
              </w:rPr>
              <w:t xml:space="preserve">Audit of new arrangements following the award of a new </w:t>
            </w:r>
            <w:r w:rsidRPr="006C471D">
              <w:rPr>
                <w:rFonts w:ascii="Arial" w:eastAsia="Times New Roman" w:hAnsi="Arial" w:cs="Arial"/>
                <w:color w:val="000000"/>
                <w:lang w:eastAsia="en-GB"/>
              </w:rPr>
              <w:t>contact, including compliance testing.</w:t>
            </w:r>
          </w:p>
        </w:tc>
      </w:tr>
      <w:tr w:rsidR="007851B9" w:rsidTr="00094F8C">
        <w:trPr>
          <w:trHeight w:val="552"/>
        </w:trPr>
        <w:tc>
          <w:tcPr>
            <w:tcW w:w="3794" w:type="dxa"/>
            <w:tcBorders>
              <w:top w:val="single" w:sz="4" w:space="0" w:color="auto"/>
              <w:left w:val="single" w:sz="4" w:space="0" w:color="auto"/>
              <w:bottom w:val="single" w:sz="4" w:space="0" w:color="auto"/>
              <w:right w:val="single" w:sz="4" w:space="0" w:color="auto"/>
            </w:tcBorders>
            <w:shd w:val="clear" w:color="auto" w:fill="auto"/>
            <w:hideMark/>
          </w:tcPr>
          <w:p w:rsidR="00C07CD8" w:rsidRPr="001D6363" w:rsidRDefault="00372175" w:rsidP="00672C56">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Audit of the council's accounting for the Fund through its general ledger</w:t>
            </w:r>
            <w:r>
              <w:rPr>
                <w:rFonts w:ascii="Arial" w:eastAsia="Times New Roman" w:hAnsi="Arial" w:cs="Arial"/>
                <w:color w:val="000000"/>
                <w:lang w:eastAsia="en-GB"/>
              </w:rPr>
              <w:t>.</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C07CD8" w:rsidRPr="001D6363" w:rsidRDefault="00372175" w:rsidP="004613CB">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 xml:space="preserve">Follow-up of </w:t>
            </w:r>
            <w:r>
              <w:rPr>
                <w:rFonts w:ascii="Arial" w:eastAsia="Times New Roman" w:hAnsi="Arial" w:cs="Arial"/>
                <w:color w:val="000000"/>
                <w:lang w:eastAsia="en-GB"/>
              </w:rPr>
              <w:t xml:space="preserve">the </w:t>
            </w:r>
            <w:r w:rsidRPr="001D6363">
              <w:rPr>
                <w:rFonts w:ascii="Arial" w:eastAsia="Times New Roman" w:hAnsi="Arial" w:cs="Arial"/>
                <w:color w:val="000000"/>
                <w:lang w:eastAsia="en-GB"/>
              </w:rPr>
              <w:t>action agreed in 2017/18.</w:t>
            </w:r>
          </w:p>
        </w:tc>
      </w:tr>
      <w:tr w:rsidR="007851B9" w:rsidTr="00094F8C">
        <w:trPr>
          <w:trHeight w:val="552"/>
        </w:trPr>
        <w:tc>
          <w:tcPr>
            <w:tcW w:w="3794" w:type="dxa"/>
            <w:tcBorders>
              <w:top w:val="single" w:sz="4" w:space="0" w:color="auto"/>
              <w:left w:val="single" w:sz="4" w:space="0" w:color="auto"/>
              <w:bottom w:val="single" w:sz="4" w:space="0" w:color="auto"/>
              <w:right w:val="single" w:sz="4" w:space="0" w:color="auto"/>
            </w:tcBorders>
            <w:shd w:val="clear" w:color="auto" w:fill="auto"/>
            <w:hideMark/>
          </w:tcPr>
          <w:p w:rsidR="00C07CD8" w:rsidRPr="001D6363" w:rsidRDefault="00372175" w:rsidP="004613CB">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 xml:space="preserve">Core financial systems: cash flow management. </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C07CD8" w:rsidRPr="001D6363" w:rsidRDefault="00372175" w:rsidP="005404F6">
            <w:pPr>
              <w:spacing w:before="40" w:after="40" w:line="240" w:lineRule="auto"/>
              <w:rPr>
                <w:rFonts w:ascii="Arial" w:eastAsia="Times New Roman" w:hAnsi="Arial" w:cs="Arial"/>
                <w:color w:val="000000"/>
                <w:lang w:eastAsia="en-GB"/>
              </w:rPr>
            </w:pPr>
            <w:r w:rsidRPr="001D6363">
              <w:rPr>
                <w:rFonts w:ascii="Arial" w:eastAsia="Times New Roman" w:hAnsi="Arial" w:cs="Arial"/>
                <w:color w:val="000000"/>
                <w:lang w:eastAsia="en-GB"/>
              </w:rPr>
              <w:t xml:space="preserve">Audit of arrangements to ensure the Fund is able to meet payments as they </w:t>
            </w:r>
            <w:r>
              <w:rPr>
                <w:rFonts w:ascii="Arial" w:eastAsia="Times New Roman" w:hAnsi="Arial" w:cs="Arial"/>
                <w:color w:val="000000"/>
                <w:lang w:eastAsia="en-GB"/>
              </w:rPr>
              <w:t>become</w:t>
            </w:r>
            <w:r w:rsidRPr="001D6363">
              <w:rPr>
                <w:rFonts w:ascii="Arial" w:eastAsia="Times New Roman" w:hAnsi="Arial" w:cs="Arial"/>
                <w:color w:val="000000"/>
                <w:lang w:eastAsia="en-GB"/>
              </w:rPr>
              <w:t xml:space="preserve"> due.</w:t>
            </w:r>
          </w:p>
        </w:tc>
      </w:tr>
      <w:tr w:rsidR="007851B9" w:rsidTr="00094F8C">
        <w:trPr>
          <w:trHeight w:val="828"/>
        </w:trPr>
        <w:tc>
          <w:tcPr>
            <w:tcW w:w="3794" w:type="dxa"/>
            <w:shd w:val="clear" w:color="auto" w:fill="auto"/>
            <w:hideMark/>
          </w:tcPr>
          <w:p w:rsidR="00C07CD8" w:rsidRPr="00E15FEC" w:rsidRDefault="00372175" w:rsidP="004613CB">
            <w:pPr>
              <w:spacing w:before="40" w:after="40" w:line="240" w:lineRule="auto"/>
              <w:rPr>
                <w:rFonts w:ascii="Arial" w:eastAsia="Times New Roman" w:hAnsi="Arial" w:cs="Arial"/>
                <w:color w:val="000000"/>
                <w:lang w:eastAsia="en-GB"/>
              </w:rPr>
            </w:pPr>
            <w:r w:rsidRPr="00E15FEC">
              <w:rPr>
                <w:rFonts w:ascii="Arial" w:eastAsia="Times New Roman" w:hAnsi="Arial" w:cs="Arial"/>
                <w:color w:val="000000"/>
                <w:lang w:eastAsia="en-GB"/>
              </w:rPr>
              <w:t>Obtaining and understanding the assurance provided by the Pension Fund's own internal auditors.</w:t>
            </w:r>
          </w:p>
        </w:tc>
        <w:tc>
          <w:tcPr>
            <w:tcW w:w="4819" w:type="dxa"/>
            <w:shd w:val="clear" w:color="auto" w:fill="auto"/>
            <w:hideMark/>
          </w:tcPr>
          <w:p w:rsidR="00C07CD8" w:rsidRPr="00E15FEC" w:rsidRDefault="00372175" w:rsidP="00672C56">
            <w:pPr>
              <w:spacing w:before="40" w:after="40" w:line="240" w:lineRule="auto"/>
              <w:rPr>
                <w:rFonts w:ascii="Arial" w:eastAsia="Times New Roman" w:hAnsi="Arial" w:cs="Arial"/>
                <w:color w:val="000000"/>
                <w:lang w:eastAsia="en-GB"/>
              </w:rPr>
            </w:pPr>
            <w:r w:rsidRPr="00E15FEC">
              <w:rPr>
                <w:rFonts w:ascii="Arial" w:eastAsia="Times New Roman" w:hAnsi="Arial" w:cs="Arial"/>
                <w:color w:val="000000"/>
                <w:lang w:eastAsia="en-GB"/>
              </w:rPr>
              <w:t>Assessment of the assurance provided by Deloitte LLP over the operation o</w:t>
            </w:r>
            <w:r w:rsidRPr="00E15FEC">
              <w:rPr>
                <w:rFonts w:ascii="Arial" w:eastAsia="Times New Roman" w:hAnsi="Arial" w:cs="Arial"/>
                <w:color w:val="000000"/>
                <w:lang w:eastAsia="en-GB"/>
              </w:rPr>
              <w:t xml:space="preserve">f the Fund by </w:t>
            </w:r>
            <w:r>
              <w:rPr>
                <w:rFonts w:ascii="Arial" w:eastAsia="Times New Roman" w:hAnsi="Arial" w:cs="Arial"/>
                <w:color w:val="000000"/>
                <w:lang w:eastAsia="en-GB"/>
              </w:rPr>
              <w:t>Local Pensions Partnership Ltd</w:t>
            </w:r>
            <w:r w:rsidRPr="00E15FEC">
              <w:rPr>
                <w:rFonts w:ascii="Arial" w:eastAsia="Times New Roman" w:hAnsi="Arial" w:cs="Arial"/>
                <w:color w:val="000000"/>
                <w:lang w:eastAsia="en-GB"/>
              </w:rPr>
              <w:t>.</w:t>
            </w:r>
          </w:p>
        </w:tc>
      </w:tr>
    </w:tbl>
    <w:p w:rsidR="00681518" w:rsidRDefault="00372175" w:rsidP="00681518">
      <w:pPr>
        <w:pStyle w:val="Rparagraph"/>
        <w:rPr>
          <w:lang w:eastAsia="en-GB"/>
        </w:rPr>
      </w:pPr>
      <w:r>
        <w:rPr>
          <w:lang w:eastAsia="en-GB"/>
        </w:rPr>
        <w:t xml:space="preserve">The work that Deloitte plans to undertake for </w:t>
      </w:r>
      <w:r w:rsidRPr="00031EDE">
        <w:t xml:space="preserve">Local </w:t>
      </w:r>
      <w:r>
        <w:t>Pensions Partnership Ltd</w:t>
      </w:r>
      <w:r>
        <w:rPr>
          <w:lang w:eastAsia="en-GB"/>
        </w:rPr>
        <w:t xml:space="preserve"> is as follows:</w:t>
      </w:r>
    </w:p>
    <w:tbl>
      <w:tblPr>
        <w:tblW w:w="8613"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4819"/>
      </w:tblGrid>
      <w:tr w:rsidR="007851B9" w:rsidTr="00094F8C">
        <w:trPr>
          <w:tblHeader/>
        </w:trPr>
        <w:tc>
          <w:tcPr>
            <w:tcW w:w="3794" w:type="dxa"/>
            <w:shd w:val="clear" w:color="auto" w:fill="F2F2F2" w:themeFill="background1" w:themeFillShade="F2"/>
          </w:tcPr>
          <w:p w:rsidR="00094F8C" w:rsidRPr="001E48A6" w:rsidRDefault="00372175" w:rsidP="002E69C7">
            <w:pPr>
              <w:pStyle w:val="Default"/>
              <w:spacing w:before="60" w:after="60"/>
              <w:rPr>
                <w:rFonts w:ascii="Arial" w:hAnsi="Arial" w:cs="Arial"/>
                <w:b/>
                <w:bCs/>
                <w:sz w:val="22"/>
                <w:szCs w:val="22"/>
              </w:rPr>
            </w:pPr>
            <w:r w:rsidRPr="001E48A6">
              <w:rPr>
                <w:rFonts w:ascii="Arial" w:hAnsi="Arial" w:cs="Arial"/>
                <w:b/>
                <w:bCs/>
                <w:sz w:val="22"/>
                <w:szCs w:val="22"/>
              </w:rPr>
              <w:t>Coverage</w:t>
            </w:r>
          </w:p>
        </w:tc>
        <w:tc>
          <w:tcPr>
            <w:tcW w:w="4819" w:type="dxa"/>
            <w:shd w:val="clear" w:color="auto" w:fill="F2F2F2" w:themeFill="background1" w:themeFillShade="F2"/>
          </w:tcPr>
          <w:p w:rsidR="00094F8C" w:rsidRPr="001E48A6" w:rsidRDefault="00372175" w:rsidP="002E69C7">
            <w:pPr>
              <w:pStyle w:val="Default"/>
              <w:spacing w:before="60" w:after="60"/>
              <w:rPr>
                <w:rFonts w:ascii="Arial" w:hAnsi="Arial" w:cs="Arial"/>
                <w:b/>
                <w:sz w:val="22"/>
                <w:szCs w:val="22"/>
              </w:rPr>
            </w:pPr>
            <w:r w:rsidRPr="001E48A6">
              <w:rPr>
                <w:rFonts w:ascii="Arial" w:hAnsi="Arial" w:cs="Arial"/>
                <w:b/>
                <w:sz w:val="22"/>
                <w:szCs w:val="22"/>
              </w:rPr>
              <w:t>Key risk areas</w:t>
            </w:r>
          </w:p>
        </w:tc>
      </w:tr>
      <w:tr w:rsidR="007851B9" w:rsidTr="00094F8C">
        <w:tc>
          <w:tcPr>
            <w:tcW w:w="3794" w:type="dxa"/>
          </w:tcPr>
          <w:p w:rsidR="00094F8C" w:rsidRPr="001E48A6" w:rsidRDefault="00372175" w:rsidP="00672C56">
            <w:pPr>
              <w:pStyle w:val="Default"/>
              <w:spacing w:before="60" w:after="60"/>
              <w:rPr>
                <w:rFonts w:ascii="Arial" w:hAnsi="Arial" w:cs="Arial"/>
                <w:sz w:val="22"/>
                <w:szCs w:val="22"/>
              </w:rPr>
            </w:pPr>
            <w:r w:rsidRPr="001E48A6">
              <w:rPr>
                <w:rFonts w:ascii="Arial" w:hAnsi="Arial" w:cs="Arial"/>
                <w:bCs/>
                <w:sz w:val="22"/>
                <w:szCs w:val="22"/>
              </w:rPr>
              <w:t>Data protection/ privacy</w:t>
            </w:r>
          </w:p>
        </w:tc>
        <w:tc>
          <w:tcPr>
            <w:tcW w:w="4819" w:type="dxa"/>
          </w:tcPr>
          <w:p w:rsidR="00094F8C" w:rsidRPr="00672C56" w:rsidRDefault="00372175" w:rsidP="00672C56">
            <w:pPr>
              <w:spacing w:before="40" w:after="40" w:line="240" w:lineRule="auto"/>
              <w:rPr>
                <w:rFonts w:ascii="Arial" w:eastAsia="Times New Roman" w:hAnsi="Arial" w:cs="Arial"/>
                <w:color w:val="000000"/>
                <w:lang w:eastAsia="en-GB"/>
              </w:rPr>
            </w:pPr>
            <w:r w:rsidRPr="00672C56">
              <w:rPr>
                <w:rFonts w:ascii="Arial" w:eastAsia="Times New Roman" w:hAnsi="Arial" w:cs="Arial"/>
                <w:color w:val="000000"/>
                <w:lang w:eastAsia="en-GB"/>
              </w:rPr>
              <w:t>The EU General Data Protection (GDPR) comes into force on the 25 May 2018. The new law will introduce a range of requirements that will have significant impacts on LPP due to the significant amount of personal data the organisation holds and its plan to in</w:t>
            </w:r>
            <w:r w:rsidRPr="00672C56">
              <w:rPr>
                <w:rFonts w:ascii="Arial" w:eastAsia="Times New Roman" w:hAnsi="Arial" w:cs="Arial"/>
                <w:color w:val="000000"/>
                <w:lang w:eastAsia="en-GB"/>
              </w:rPr>
              <w:t xml:space="preserve">troduce home working for staff within the Administration business. </w:t>
            </w:r>
          </w:p>
        </w:tc>
      </w:tr>
      <w:tr w:rsidR="007851B9" w:rsidTr="003C2590">
        <w:tc>
          <w:tcPr>
            <w:tcW w:w="3794" w:type="dxa"/>
          </w:tcPr>
          <w:p w:rsidR="00094F8C" w:rsidRPr="001E48A6" w:rsidRDefault="00372175" w:rsidP="003C2590">
            <w:pPr>
              <w:pStyle w:val="Default"/>
              <w:spacing w:before="60" w:after="60"/>
              <w:rPr>
                <w:rFonts w:ascii="Arial" w:hAnsi="Arial" w:cs="Arial"/>
                <w:bCs/>
                <w:sz w:val="22"/>
                <w:szCs w:val="22"/>
              </w:rPr>
            </w:pPr>
            <w:r w:rsidRPr="001E48A6">
              <w:rPr>
                <w:rFonts w:ascii="Arial" w:hAnsi="Arial" w:cs="Arial"/>
                <w:bCs/>
                <w:sz w:val="22"/>
                <w:szCs w:val="22"/>
              </w:rPr>
              <w:t>Cybersecurity</w:t>
            </w:r>
          </w:p>
        </w:tc>
        <w:tc>
          <w:tcPr>
            <w:tcW w:w="4819" w:type="dxa"/>
          </w:tcPr>
          <w:p w:rsidR="00094F8C" w:rsidRPr="00672C56" w:rsidRDefault="00372175" w:rsidP="00672C56">
            <w:pPr>
              <w:spacing w:before="40" w:after="40" w:line="240" w:lineRule="auto"/>
              <w:rPr>
                <w:rFonts w:ascii="Arial" w:eastAsia="Times New Roman" w:hAnsi="Arial" w:cs="Arial"/>
                <w:color w:val="000000"/>
                <w:lang w:eastAsia="en-GB"/>
              </w:rPr>
            </w:pPr>
            <w:r w:rsidRPr="00672C56">
              <w:rPr>
                <w:rFonts w:ascii="Arial" w:eastAsia="Times New Roman" w:hAnsi="Arial" w:cs="Arial"/>
                <w:color w:val="000000"/>
                <w:lang w:eastAsia="en-GB"/>
              </w:rPr>
              <w:t>Strong controls over cyber security are essential. We will focus on the development of the cyber strategy including LPP’s ability to defend and respond to this risk.</w:t>
            </w:r>
          </w:p>
        </w:tc>
      </w:tr>
      <w:tr w:rsidR="007851B9" w:rsidTr="000734FE">
        <w:tc>
          <w:tcPr>
            <w:tcW w:w="3794" w:type="dxa"/>
          </w:tcPr>
          <w:p w:rsidR="00672C56" w:rsidRPr="001E48A6" w:rsidRDefault="00372175" w:rsidP="000734FE">
            <w:pPr>
              <w:pStyle w:val="Default"/>
              <w:spacing w:before="60" w:after="60"/>
              <w:rPr>
                <w:rFonts w:ascii="Arial" w:hAnsi="Arial" w:cs="Arial"/>
                <w:sz w:val="22"/>
                <w:szCs w:val="22"/>
              </w:rPr>
            </w:pPr>
            <w:r w:rsidRPr="001E48A6">
              <w:rPr>
                <w:rFonts w:ascii="Arial" w:hAnsi="Arial" w:cs="Arial"/>
                <w:bCs/>
                <w:sz w:val="22"/>
                <w:szCs w:val="22"/>
              </w:rPr>
              <w:t>Core s</w:t>
            </w:r>
            <w:r w:rsidRPr="001E48A6">
              <w:rPr>
                <w:rFonts w:ascii="Arial" w:hAnsi="Arial" w:cs="Arial"/>
                <w:bCs/>
                <w:sz w:val="22"/>
                <w:szCs w:val="22"/>
              </w:rPr>
              <w:t>ystems and infrastructure</w:t>
            </w:r>
            <w:r w:rsidRPr="00672C56">
              <w:rPr>
                <w:rFonts w:ascii="Arial" w:hAnsi="Arial" w:cs="Arial"/>
                <w:bCs/>
                <w:sz w:val="22"/>
                <w:szCs w:val="22"/>
              </w:rPr>
              <w:t xml:space="preserve"> </w:t>
            </w:r>
            <w:r>
              <w:rPr>
                <w:rFonts w:ascii="Arial" w:hAnsi="Arial" w:cs="Arial"/>
                <w:bCs/>
                <w:sz w:val="22"/>
                <w:szCs w:val="22"/>
              </w:rPr>
              <w:t>(p</w:t>
            </w:r>
            <w:r w:rsidRPr="001E48A6">
              <w:rPr>
                <w:rFonts w:ascii="Arial" w:hAnsi="Arial" w:cs="Arial"/>
                <w:bCs/>
                <w:sz w:val="22"/>
                <w:szCs w:val="22"/>
              </w:rPr>
              <w:t>hase 2)</w:t>
            </w:r>
          </w:p>
        </w:tc>
        <w:tc>
          <w:tcPr>
            <w:tcW w:w="4819" w:type="dxa"/>
          </w:tcPr>
          <w:p w:rsidR="00672C56" w:rsidRPr="001E48A6" w:rsidRDefault="00372175" w:rsidP="000734FE">
            <w:pPr>
              <w:spacing w:before="40" w:after="40" w:line="240" w:lineRule="auto"/>
              <w:rPr>
                <w:rFonts w:ascii="Arial" w:eastAsia="Times New Roman" w:hAnsi="Arial" w:cs="Arial"/>
                <w:lang w:eastAsia="en-GB"/>
              </w:rPr>
            </w:pPr>
            <w:r w:rsidRPr="001E48A6">
              <w:rPr>
                <w:rFonts w:ascii="Arial" w:hAnsi="Arial" w:cs="Arial"/>
              </w:rPr>
              <w:t>Migration of the LPP network on to a private cloud is a key enabling activity for further ch</w:t>
            </w:r>
            <w:r>
              <w:rPr>
                <w:rFonts w:ascii="Arial" w:hAnsi="Arial" w:cs="Arial"/>
              </w:rPr>
              <w:t xml:space="preserve">ange </w:t>
            </w:r>
            <w:r w:rsidRPr="00672C56">
              <w:rPr>
                <w:rFonts w:ascii="Arial" w:eastAsia="Times New Roman" w:hAnsi="Arial" w:cs="Arial"/>
                <w:color w:val="000000"/>
                <w:lang w:eastAsia="en-GB"/>
              </w:rPr>
              <w:t>within</w:t>
            </w:r>
            <w:r>
              <w:rPr>
                <w:rFonts w:ascii="Arial" w:hAnsi="Arial" w:cs="Arial"/>
              </w:rPr>
              <w:t xml:space="preserve"> the LPP businesses.</w:t>
            </w:r>
          </w:p>
        </w:tc>
      </w:tr>
      <w:tr w:rsidR="007851B9" w:rsidTr="00094F8C">
        <w:tc>
          <w:tcPr>
            <w:tcW w:w="3794" w:type="dxa"/>
          </w:tcPr>
          <w:p w:rsidR="00094F8C" w:rsidRPr="001E48A6" w:rsidRDefault="00372175" w:rsidP="002E69C7">
            <w:pPr>
              <w:pStyle w:val="Default"/>
              <w:spacing w:before="60" w:after="60"/>
              <w:rPr>
                <w:rFonts w:ascii="Arial" w:hAnsi="Arial" w:cs="Arial"/>
                <w:bCs/>
                <w:sz w:val="22"/>
                <w:szCs w:val="22"/>
              </w:rPr>
            </w:pPr>
            <w:r w:rsidRPr="001E48A6">
              <w:rPr>
                <w:rFonts w:ascii="Arial" w:hAnsi="Arial" w:cs="Arial"/>
                <w:bCs/>
                <w:sz w:val="22"/>
                <w:szCs w:val="22"/>
              </w:rPr>
              <w:t>Investments –</w:t>
            </w:r>
            <w:r>
              <w:rPr>
                <w:rFonts w:ascii="Arial" w:hAnsi="Arial" w:cs="Arial"/>
                <w:bCs/>
                <w:sz w:val="22"/>
                <w:szCs w:val="22"/>
              </w:rPr>
              <w:t xml:space="preserve"> </w:t>
            </w:r>
            <w:r w:rsidRPr="001E48A6">
              <w:rPr>
                <w:rFonts w:ascii="Arial" w:hAnsi="Arial" w:cs="Arial"/>
                <w:bCs/>
                <w:sz w:val="22"/>
                <w:szCs w:val="22"/>
              </w:rPr>
              <w:t>MiFID II compliance</w:t>
            </w:r>
          </w:p>
        </w:tc>
        <w:tc>
          <w:tcPr>
            <w:tcW w:w="4819" w:type="dxa"/>
          </w:tcPr>
          <w:p w:rsidR="00094F8C" w:rsidRPr="00672C56" w:rsidRDefault="00372175" w:rsidP="00672C56">
            <w:pPr>
              <w:spacing w:before="40" w:after="40" w:line="240" w:lineRule="auto"/>
              <w:rPr>
                <w:rFonts w:ascii="Arial" w:eastAsia="Times New Roman" w:hAnsi="Arial" w:cs="Arial"/>
                <w:color w:val="000000"/>
                <w:lang w:eastAsia="en-GB"/>
              </w:rPr>
            </w:pPr>
            <w:r w:rsidRPr="00672C56">
              <w:rPr>
                <w:rFonts w:ascii="Arial" w:eastAsia="Times New Roman" w:hAnsi="Arial" w:cs="Arial"/>
                <w:color w:val="000000"/>
                <w:lang w:eastAsia="en-GB"/>
              </w:rPr>
              <w:t xml:space="preserve">A review of the policies and procedures in place for </w:t>
            </w:r>
            <w:r w:rsidRPr="00672C56">
              <w:rPr>
                <w:rFonts w:ascii="Arial" w:eastAsia="Times New Roman" w:hAnsi="Arial" w:cs="Arial"/>
                <w:color w:val="000000"/>
                <w:lang w:eastAsia="en-GB"/>
              </w:rPr>
              <w:t xml:space="preserve">monitoring compliance with FCA regulatory requirements and an evaluation of </w:t>
            </w:r>
            <w:r w:rsidRPr="00672C56">
              <w:rPr>
                <w:rFonts w:ascii="Arial" w:eastAsia="Times New Roman" w:hAnsi="Arial" w:cs="Arial"/>
                <w:color w:val="000000"/>
                <w:lang w:eastAsia="en-GB"/>
              </w:rPr>
              <w:lastRenderedPageBreak/>
              <w:t>process by which the regulatory impact of changes in the business are identified and planned for to including horizon scanning. To include an assessment of compliance with MIFID II</w:t>
            </w:r>
            <w:r w:rsidRPr="00672C56">
              <w:rPr>
                <w:rFonts w:ascii="Arial" w:eastAsia="Times New Roman" w:hAnsi="Arial" w:cs="Arial"/>
                <w:color w:val="000000"/>
                <w:lang w:eastAsia="en-GB"/>
              </w:rPr>
              <w:t xml:space="preserve"> including best execution, conflicts of interest and personnel account dealing.</w:t>
            </w:r>
          </w:p>
        </w:tc>
      </w:tr>
      <w:tr w:rsidR="007851B9" w:rsidTr="00094F8C">
        <w:tc>
          <w:tcPr>
            <w:tcW w:w="3794" w:type="dxa"/>
          </w:tcPr>
          <w:p w:rsidR="00094F8C" w:rsidRPr="001E48A6" w:rsidRDefault="00372175" w:rsidP="002E69C7">
            <w:pPr>
              <w:pStyle w:val="Default"/>
              <w:spacing w:before="60" w:after="60"/>
              <w:rPr>
                <w:rFonts w:ascii="Arial" w:hAnsi="Arial" w:cs="Arial"/>
                <w:bCs/>
                <w:sz w:val="22"/>
                <w:szCs w:val="22"/>
              </w:rPr>
            </w:pPr>
            <w:r w:rsidRPr="001E48A6">
              <w:rPr>
                <w:rFonts w:ascii="Arial" w:hAnsi="Arial" w:cs="Arial"/>
                <w:bCs/>
                <w:sz w:val="22"/>
                <w:szCs w:val="22"/>
              </w:rPr>
              <w:lastRenderedPageBreak/>
              <w:t>Third party oversight</w:t>
            </w:r>
          </w:p>
        </w:tc>
        <w:tc>
          <w:tcPr>
            <w:tcW w:w="4819" w:type="dxa"/>
          </w:tcPr>
          <w:p w:rsidR="00094F8C" w:rsidRPr="00672C56" w:rsidRDefault="00372175" w:rsidP="00672C56">
            <w:pPr>
              <w:spacing w:before="40" w:after="40" w:line="240" w:lineRule="auto"/>
              <w:rPr>
                <w:rFonts w:ascii="Arial" w:eastAsia="Times New Roman" w:hAnsi="Arial" w:cs="Arial"/>
                <w:color w:val="000000"/>
                <w:lang w:eastAsia="en-GB"/>
              </w:rPr>
            </w:pPr>
            <w:r w:rsidRPr="00672C56">
              <w:rPr>
                <w:rFonts w:ascii="Arial" w:eastAsia="Times New Roman" w:hAnsi="Arial" w:cs="Arial"/>
                <w:color w:val="000000"/>
                <w:lang w:eastAsia="en-GB"/>
              </w:rPr>
              <w:t>Dependence on outsourced providers for key business activities leads to high impact of control failure and increased likelihood of operational failure, r</w:t>
            </w:r>
            <w:r w:rsidRPr="00672C56">
              <w:rPr>
                <w:rFonts w:ascii="Arial" w:eastAsia="Times New Roman" w:hAnsi="Arial" w:cs="Arial"/>
                <w:color w:val="000000"/>
                <w:lang w:eastAsia="en-GB"/>
              </w:rPr>
              <w:t>eputational loss and financial loss if outsourcing arrangements are not adequately monitored and controlled. LPP outsource part of the investment management and custodianship function and a review of the oversight of these relationships, such as review SLA</w:t>
            </w:r>
            <w:r w:rsidRPr="00672C56">
              <w:rPr>
                <w:rFonts w:ascii="Arial" w:eastAsia="Times New Roman" w:hAnsi="Arial" w:cs="Arial"/>
                <w:color w:val="000000"/>
                <w:lang w:eastAsia="en-GB"/>
              </w:rPr>
              <w:t>s and monitoring of KPIs, is key to confirming effective supervision.</w:t>
            </w:r>
          </w:p>
        </w:tc>
      </w:tr>
      <w:tr w:rsidR="007851B9" w:rsidTr="00094F8C">
        <w:tc>
          <w:tcPr>
            <w:tcW w:w="3794" w:type="dxa"/>
          </w:tcPr>
          <w:p w:rsidR="00094F8C" w:rsidRPr="001E48A6" w:rsidRDefault="00372175" w:rsidP="002E69C7">
            <w:pPr>
              <w:pStyle w:val="Default"/>
              <w:spacing w:before="60" w:after="60"/>
              <w:rPr>
                <w:rFonts w:ascii="Arial" w:hAnsi="Arial" w:cs="Arial"/>
                <w:bCs/>
                <w:sz w:val="22"/>
                <w:szCs w:val="22"/>
              </w:rPr>
            </w:pPr>
            <w:r w:rsidRPr="001E48A6">
              <w:rPr>
                <w:rFonts w:ascii="Arial" w:hAnsi="Arial" w:cs="Arial"/>
                <w:bCs/>
                <w:sz w:val="22"/>
                <w:szCs w:val="22"/>
              </w:rPr>
              <w:t>Core financial controls</w:t>
            </w:r>
          </w:p>
        </w:tc>
        <w:tc>
          <w:tcPr>
            <w:tcW w:w="4819" w:type="dxa"/>
          </w:tcPr>
          <w:p w:rsidR="00094F8C" w:rsidRPr="00672C56" w:rsidRDefault="00372175" w:rsidP="00672C56">
            <w:pPr>
              <w:spacing w:before="40" w:after="40" w:line="240" w:lineRule="auto"/>
              <w:rPr>
                <w:rFonts w:ascii="Arial" w:eastAsia="Times New Roman" w:hAnsi="Arial" w:cs="Arial"/>
                <w:color w:val="000000"/>
                <w:lang w:eastAsia="en-GB"/>
              </w:rPr>
            </w:pPr>
            <w:r w:rsidRPr="00672C56">
              <w:rPr>
                <w:rFonts w:ascii="Arial" w:eastAsia="Times New Roman" w:hAnsi="Arial" w:cs="Arial"/>
                <w:color w:val="000000"/>
                <w:lang w:eastAsia="en-GB"/>
              </w:rPr>
              <w:t xml:space="preserve">The design and operation of core financial controls is essential to enable effective function of LPP. In year two of the plan we would focus on quality of </w:t>
            </w:r>
            <w:r w:rsidRPr="00672C56">
              <w:rPr>
                <w:rFonts w:ascii="Arial" w:eastAsia="Times New Roman" w:hAnsi="Arial" w:cs="Arial"/>
                <w:color w:val="000000"/>
                <w:lang w:eastAsia="en-GB"/>
              </w:rPr>
              <w:t>Management Information and reporting.</w:t>
            </w:r>
          </w:p>
        </w:tc>
      </w:tr>
      <w:tr w:rsidR="007851B9" w:rsidTr="00E822B5">
        <w:tc>
          <w:tcPr>
            <w:tcW w:w="3794" w:type="dxa"/>
          </w:tcPr>
          <w:p w:rsidR="008461D7" w:rsidRPr="001E48A6" w:rsidRDefault="00372175" w:rsidP="00E822B5">
            <w:pPr>
              <w:pStyle w:val="Default"/>
              <w:spacing w:before="60" w:after="60"/>
              <w:rPr>
                <w:rFonts w:ascii="Arial" w:hAnsi="Arial" w:cs="Arial"/>
                <w:bCs/>
                <w:sz w:val="22"/>
                <w:szCs w:val="22"/>
              </w:rPr>
            </w:pPr>
            <w:r w:rsidRPr="001E48A6">
              <w:rPr>
                <w:rFonts w:ascii="Arial" w:hAnsi="Arial" w:cs="Arial"/>
                <w:bCs/>
                <w:sz w:val="22"/>
                <w:szCs w:val="22"/>
              </w:rPr>
              <w:t>Investments –</w:t>
            </w:r>
            <w:r>
              <w:rPr>
                <w:rFonts w:ascii="Arial" w:hAnsi="Arial" w:cs="Arial"/>
                <w:bCs/>
                <w:sz w:val="22"/>
                <w:szCs w:val="22"/>
              </w:rPr>
              <w:t xml:space="preserve"> l</w:t>
            </w:r>
            <w:r w:rsidRPr="001E48A6">
              <w:rPr>
                <w:rFonts w:ascii="Arial" w:hAnsi="Arial" w:cs="Arial"/>
                <w:bCs/>
                <w:sz w:val="22"/>
                <w:szCs w:val="22"/>
              </w:rPr>
              <w:t>egal and regulatory compliance</w:t>
            </w:r>
          </w:p>
        </w:tc>
        <w:tc>
          <w:tcPr>
            <w:tcW w:w="4819" w:type="dxa"/>
          </w:tcPr>
          <w:p w:rsidR="008461D7" w:rsidRPr="00672C56" w:rsidRDefault="00372175" w:rsidP="00E822B5">
            <w:pPr>
              <w:spacing w:before="40" w:after="40" w:line="240" w:lineRule="auto"/>
              <w:rPr>
                <w:rFonts w:ascii="Arial" w:eastAsia="Times New Roman" w:hAnsi="Arial" w:cs="Arial"/>
                <w:color w:val="000000"/>
                <w:lang w:eastAsia="en-GB"/>
              </w:rPr>
            </w:pPr>
            <w:r w:rsidRPr="00672C56">
              <w:rPr>
                <w:rFonts w:ascii="Arial" w:eastAsia="Times New Roman" w:hAnsi="Arial" w:cs="Arial"/>
                <w:color w:val="000000"/>
                <w:lang w:eastAsia="en-GB"/>
              </w:rPr>
              <w:t>A review of policies in place for monitoring compliance with regulatory compliance and an evaluation of the process by which the regulatory compliance and an evaluation of</w:t>
            </w:r>
            <w:r w:rsidRPr="00672C56">
              <w:rPr>
                <w:rFonts w:ascii="Arial" w:eastAsia="Times New Roman" w:hAnsi="Arial" w:cs="Arial"/>
                <w:color w:val="000000"/>
                <w:lang w:eastAsia="en-GB"/>
              </w:rPr>
              <w:t xml:space="preserve"> the process by which the regulatory impact of changes in the business are identified and planned for including horizon scanning. To include assessment of compliance with financial crime regulations including Bribery Act, Market Abuse Regulations and Anti-</w:t>
            </w:r>
            <w:r w:rsidRPr="00672C56">
              <w:rPr>
                <w:rFonts w:ascii="Arial" w:eastAsia="Times New Roman" w:hAnsi="Arial" w:cs="Arial"/>
                <w:color w:val="000000"/>
                <w:lang w:eastAsia="en-GB"/>
              </w:rPr>
              <w:t>Money Laundering Regulations.</w:t>
            </w:r>
          </w:p>
        </w:tc>
      </w:tr>
      <w:tr w:rsidR="007851B9" w:rsidTr="008461D7">
        <w:tc>
          <w:tcPr>
            <w:tcW w:w="3794" w:type="dxa"/>
            <w:tcBorders>
              <w:bottom w:val="single" w:sz="4" w:space="0" w:color="auto"/>
            </w:tcBorders>
          </w:tcPr>
          <w:p w:rsidR="008461D7" w:rsidRPr="001E48A6" w:rsidRDefault="00372175" w:rsidP="00C7494E">
            <w:pPr>
              <w:pStyle w:val="Default"/>
              <w:spacing w:before="60" w:after="60"/>
              <w:rPr>
                <w:rFonts w:ascii="Arial" w:hAnsi="Arial" w:cs="Arial"/>
                <w:bCs/>
                <w:sz w:val="22"/>
                <w:szCs w:val="22"/>
              </w:rPr>
            </w:pPr>
            <w:r w:rsidRPr="001E48A6">
              <w:rPr>
                <w:rFonts w:ascii="Arial" w:hAnsi="Arial" w:cs="Arial"/>
                <w:bCs/>
                <w:sz w:val="22"/>
                <w:szCs w:val="22"/>
              </w:rPr>
              <w:t>Benefits administration</w:t>
            </w:r>
          </w:p>
        </w:tc>
        <w:tc>
          <w:tcPr>
            <w:tcW w:w="4819" w:type="dxa"/>
            <w:tcBorders>
              <w:bottom w:val="single" w:sz="4" w:space="0" w:color="auto"/>
            </w:tcBorders>
          </w:tcPr>
          <w:p w:rsidR="008461D7" w:rsidRPr="001E48A6" w:rsidRDefault="00372175" w:rsidP="00C7494E">
            <w:pPr>
              <w:spacing w:before="40" w:after="40" w:line="240" w:lineRule="auto"/>
              <w:rPr>
                <w:rFonts w:ascii="Arial" w:eastAsia="Times New Roman" w:hAnsi="Arial" w:cs="Arial"/>
                <w:lang w:eastAsia="en-GB"/>
              </w:rPr>
            </w:pPr>
            <w:r w:rsidRPr="001E48A6">
              <w:rPr>
                <w:rFonts w:ascii="Arial" w:hAnsi="Arial" w:cs="Arial"/>
              </w:rPr>
              <w:t>The</w:t>
            </w:r>
            <w:r>
              <w:rPr>
                <w:rFonts w:ascii="Arial" w:hAnsi="Arial" w:cs="Arial"/>
              </w:rPr>
              <w:t>re</w:t>
            </w:r>
            <w:r w:rsidRPr="001E48A6">
              <w:rPr>
                <w:rFonts w:ascii="Arial" w:hAnsi="Arial" w:cs="Arial"/>
              </w:rPr>
              <w:t xml:space="preserve"> is significant variation in the complexity of benefit awards that the LPP Administration calculates and pays to members of the </w:t>
            </w:r>
            <w:r w:rsidRPr="00672C56">
              <w:rPr>
                <w:rFonts w:ascii="Arial" w:eastAsia="Times New Roman" w:hAnsi="Arial" w:cs="Arial"/>
                <w:color w:val="000000"/>
                <w:lang w:eastAsia="en-GB"/>
              </w:rPr>
              <w:t>participating</w:t>
            </w:r>
            <w:r w:rsidRPr="001E48A6">
              <w:rPr>
                <w:rFonts w:ascii="Arial" w:hAnsi="Arial" w:cs="Arial"/>
              </w:rPr>
              <w:t xml:space="preserve"> funds. The calculation of these benefits are performed by a number of geographical dispersed teams. In year two of our plan we would focus on transfers out of the local government pension scheme, teachers</w:t>
            </w:r>
            <w:r>
              <w:rPr>
                <w:rFonts w:ascii="Arial" w:hAnsi="Arial" w:cs="Arial"/>
              </w:rPr>
              <w:t>'</w:t>
            </w:r>
            <w:r w:rsidRPr="001E48A6">
              <w:rPr>
                <w:rFonts w:ascii="Arial" w:hAnsi="Arial" w:cs="Arial"/>
              </w:rPr>
              <w:t xml:space="preserve"> compensation scheme, firefighters</w:t>
            </w:r>
            <w:r>
              <w:rPr>
                <w:rFonts w:ascii="Arial" w:hAnsi="Arial" w:cs="Arial"/>
              </w:rPr>
              <w:t>'</w:t>
            </w:r>
            <w:r w:rsidRPr="001E48A6">
              <w:rPr>
                <w:rFonts w:ascii="Arial" w:hAnsi="Arial" w:cs="Arial"/>
              </w:rPr>
              <w:t xml:space="preserve"> pensions, poli</w:t>
            </w:r>
            <w:r w:rsidRPr="001E48A6">
              <w:rPr>
                <w:rFonts w:ascii="Arial" w:hAnsi="Arial" w:cs="Arial"/>
              </w:rPr>
              <w:t xml:space="preserve">ce </w:t>
            </w:r>
            <w:r>
              <w:rPr>
                <w:rFonts w:ascii="Arial" w:hAnsi="Arial" w:cs="Arial"/>
              </w:rPr>
              <w:t>pensions and member complaints.</w:t>
            </w:r>
          </w:p>
        </w:tc>
      </w:tr>
      <w:tr w:rsidR="007851B9" w:rsidTr="008461D7">
        <w:tc>
          <w:tcPr>
            <w:tcW w:w="3794" w:type="dxa"/>
            <w:tcBorders>
              <w:top w:val="nil"/>
            </w:tcBorders>
          </w:tcPr>
          <w:p w:rsidR="00094F8C" w:rsidRPr="001E48A6" w:rsidRDefault="00372175" w:rsidP="002E69C7">
            <w:pPr>
              <w:pStyle w:val="Default"/>
              <w:spacing w:before="60" w:after="60"/>
              <w:rPr>
                <w:rFonts w:ascii="Arial" w:hAnsi="Arial" w:cs="Arial"/>
                <w:bCs/>
                <w:sz w:val="22"/>
                <w:szCs w:val="22"/>
              </w:rPr>
            </w:pPr>
            <w:r w:rsidRPr="001E48A6">
              <w:rPr>
                <w:rFonts w:ascii="Arial" w:hAnsi="Arial" w:cs="Arial"/>
                <w:bCs/>
                <w:sz w:val="22"/>
                <w:szCs w:val="22"/>
              </w:rPr>
              <w:t xml:space="preserve">Administration transformation </w:t>
            </w:r>
            <w:r>
              <w:rPr>
                <w:rFonts w:ascii="Arial" w:hAnsi="Arial" w:cs="Arial"/>
                <w:bCs/>
                <w:sz w:val="22"/>
                <w:szCs w:val="22"/>
              </w:rPr>
              <w:t>(p</w:t>
            </w:r>
            <w:r w:rsidRPr="001E48A6">
              <w:rPr>
                <w:rFonts w:ascii="Arial" w:hAnsi="Arial" w:cs="Arial"/>
                <w:bCs/>
                <w:sz w:val="22"/>
                <w:szCs w:val="22"/>
              </w:rPr>
              <w:t>hase 2)</w:t>
            </w:r>
          </w:p>
        </w:tc>
        <w:tc>
          <w:tcPr>
            <w:tcW w:w="4819" w:type="dxa"/>
            <w:tcBorders>
              <w:top w:val="nil"/>
            </w:tcBorders>
          </w:tcPr>
          <w:p w:rsidR="00094F8C" w:rsidRPr="00672C56" w:rsidRDefault="00372175" w:rsidP="00672C56">
            <w:pPr>
              <w:spacing w:before="40" w:after="40" w:line="240" w:lineRule="auto"/>
              <w:rPr>
                <w:rFonts w:ascii="Arial" w:eastAsia="Times New Roman" w:hAnsi="Arial" w:cs="Arial"/>
                <w:color w:val="000000"/>
                <w:lang w:eastAsia="en-GB"/>
              </w:rPr>
            </w:pPr>
            <w:r w:rsidRPr="00672C56">
              <w:rPr>
                <w:rFonts w:ascii="Arial" w:eastAsia="Times New Roman" w:hAnsi="Arial" w:cs="Arial"/>
                <w:color w:val="000000"/>
                <w:lang w:eastAsia="en-GB"/>
              </w:rPr>
              <w:t>The Administration business has set itself a significant change agenda. The change is planned to be delivered by April 2018 and will need to be delivered whilst maintaining quality</w:t>
            </w:r>
            <w:r w:rsidRPr="00672C56">
              <w:rPr>
                <w:rFonts w:ascii="Arial" w:eastAsia="Times New Roman" w:hAnsi="Arial" w:cs="Arial"/>
                <w:color w:val="000000"/>
                <w:lang w:eastAsia="en-GB"/>
              </w:rPr>
              <w:t xml:space="preserve"> of service to members.</w:t>
            </w:r>
          </w:p>
        </w:tc>
      </w:tr>
    </w:tbl>
    <w:p w:rsidR="00D41E38" w:rsidRPr="002864F0" w:rsidRDefault="00372175" w:rsidP="00D41E38">
      <w:pPr>
        <w:pStyle w:val="Rheading"/>
        <w:rPr>
          <w:lang w:eastAsia="en-GB"/>
        </w:rPr>
      </w:pPr>
      <w:r w:rsidRPr="002864F0">
        <w:rPr>
          <w:lang w:eastAsia="en-GB"/>
        </w:rPr>
        <w:t>Audit assurance levels and classification of residual risks</w:t>
      </w:r>
    </w:p>
    <w:p w:rsidR="00D41E38" w:rsidRDefault="00372175" w:rsidP="00D41E38">
      <w:pPr>
        <w:pStyle w:val="Rparagraph"/>
        <w:rPr>
          <w:b/>
          <w:sz w:val="28"/>
          <w:szCs w:val="28"/>
        </w:rPr>
      </w:pPr>
      <w:r>
        <w:lastRenderedPageBreak/>
        <w:t>The assurance levels and classification of risks within Lancashire County Council's Internal Audit Service for 2017/18 are as follows. Please note that t</w:t>
      </w:r>
      <w:r w:rsidRPr="0057715B">
        <w:t>h</w:t>
      </w:r>
      <w:r>
        <w:t xml:space="preserve">ese </w:t>
      </w:r>
      <w:r w:rsidRPr="0057715B">
        <w:t>definitions w</w:t>
      </w:r>
      <w:r w:rsidRPr="0057715B">
        <w:t xml:space="preserve">ill be amended for </w:t>
      </w:r>
      <w:r>
        <w:t xml:space="preserve">work undertaken in </w:t>
      </w:r>
      <w:r w:rsidRPr="0057715B">
        <w:t>2018/19.</w:t>
      </w:r>
    </w:p>
    <w:p w:rsidR="00D41E38" w:rsidRPr="002864F0" w:rsidRDefault="00372175" w:rsidP="00D41E38">
      <w:pPr>
        <w:pStyle w:val="Rsub-heading"/>
      </w:pPr>
      <w:r w:rsidRPr="002864F0">
        <w:t>Assurance levels</w:t>
      </w:r>
    </w:p>
    <w:p w:rsidR="00D41E38" w:rsidRPr="00094F8C" w:rsidRDefault="00372175" w:rsidP="00094F8C">
      <w:pPr>
        <w:pStyle w:val="Rquotation"/>
      </w:pPr>
      <w:r w:rsidRPr="00094F8C">
        <w:t>Full assurance: there is a sound system of internal control which is designed to meet the service objectives and controls are being consistently applied.</w:t>
      </w:r>
    </w:p>
    <w:p w:rsidR="00D41E38" w:rsidRPr="00094F8C" w:rsidRDefault="00372175" w:rsidP="00094F8C">
      <w:pPr>
        <w:pStyle w:val="Rquotation"/>
      </w:pPr>
      <w:r w:rsidRPr="00094F8C">
        <w:t>Substantial assurance: there is a generally sound system of internal control, designed to meet the service objectives, and controls are generally being applied consistently. However some weakness in the design and/ or inconsistent application of controls p</w:t>
      </w:r>
      <w:r w:rsidRPr="00094F8C">
        <w:t xml:space="preserve">ut the achievement of particular objectives at risk. </w:t>
      </w:r>
    </w:p>
    <w:p w:rsidR="00D41E38" w:rsidRPr="00094F8C" w:rsidRDefault="00372175" w:rsidP="00094F8C">
      <w:pPr>
        <w:pStyle w:val="Rquotation"/>
      </w:pPr>
      <w:r w:rsidRPr="00094F8C">
        <w:t>Limited assurance: weaknesses in the design and/ or inconsistent application of controls put the achievement of the service objectives at risk.</w:t>
      </w:r>
    </w:p>
    <w:p w:rsidR="00D41E38" w:rsidRPr="00F52093" w:rsidRDefault="00372175" w:rsidP="00094F8C">
      <w:pPr>
        <w:pStyle w:val="Rquotation"/>
      </w:pPr>
      <w:r w:rsidRPr="00094F8C">
        <w:t>No assurance: weaknesses</w:t>
      </w:r>
      <w:r w:rsidRPr="00F52093">
        <w:t xml:space="preserve"> in control and/ or consistent non</w:t>
      </w:r>
      <w:r w:rsidRPr="00F52093">
        <w:t>-compliance with controls could result/ have resulted in failure to achieve the service objectives.</w:t>
      </w:r>
    </w:p>
    <w:p w:rsidR="00D41E38" w:rsidRPr="002864F0" w:rsidRDefault="00372175" w:rsidP="00D41E38">
      <w:pPr>
        <w:pStyle w:val="Rsub-heading"/>
      </w:pPr>
      <w:r w:rsidRPr="002864F0">
        <w:t xml:space="preserve">Classification of residual risks requiring management action </w:t>
      </w:r>
    </w:p>
    <w:p w:rsidR="00D41E38" w:rsidRPr="00094F8C" w:rsidRDefault="00372175" w:rsidP="00094F8C">
      <w:pPr>
        <w:pStyle w:val="Rquotation"/>
      </w:pPr>
      <w:r w:rsidRPr="00094F8C">
        <w:t>Extreme residual risk: Critical and urgent in that failure to address the risk could lead to o</w:t>
      </w:r>
      <w:r w:rsidRPr="00094F8C">
        <w:t>ne or more of the following occurring: catastrophic loss of the county council's services, loss of life, significant environmental damage or huge financial loss, with related national press coverage and substantial damage to the council's reputation. Remed</w:t>
      </w:r>
      <w:r w:rsidRPr="00094F8C">
        <w:t>ial action must be taken immediately.</w:t>
      </w:r>
    </w:p>
    <w:p w:rsidR="00D41E38" w:rsidRPr="00094F8C" w:rsidRDefault="00372175" w:rsidP="00094F8C">
      <w:pPr>
        <w:pStyle w:val="Rquotation"/>
      </w:pPr>
      <w:r w:rsidRPr="00094F8C">
        <w:t>High residual risk: Critical in that failure to address the issue or progress the work would lead to one or more of the following occurring: failure to achieve organisational objectives, disruption to the business, fin</w:t>
      </w:r>
      <w:r w:rsidRPr="00094F8C">
        <w:t>ancial loss, fraud, inefficient use of resources, failure to comply with law or regulations, or damage to the council's reputation.  Remedial action must be taken urgently.</w:t>
      </w:r>
    </w:p>
    <w:p w:rsidR="00D41E38" w:rsidRPr="00094F8C" w:rsidRDefault="00372175" w:rsidP="00094F8C">
      <w:pPr>
        <w:pStyle w:val="Rquotation"/>
      </w:pPr>
      <w:r w:rsidRPr="00094F8C">
        <w:t>Medium residual risk: Less critical, but failure to address the issue or progress t</w:t>
      </w:r>
      <w:r w:rsidRPr="00094F8C">
        <w:t>he work could impact on operational objectives and should be of concern to senior management. Prompt specific action should be taken. </w:t>
      </w:r>
    </w:p>
    <w:p w:rsidR="00D41E38" w:rsidRDefault="00372175" w:rsidP="00094F8C">
      <w:pPr>
        <w:pStyle w:val="Rquotation"/>
        <w:rPr>
          <w:bCs/>
          <w:iCs/>
        </w:rPr>
      </w:pPr>
      <w:r w:rsidRPr="00094F8C">
        <w:t>Low residual risk: Areas</w:t>
      </w:r>
      <w:r w:rsidRPr="00F52093">
        <w:t xml:space="preserve"> that individually have no major impact on achieving the service objectives or on the work progra</w:t>
      </w:r>
      <w:r w:rsidRPr="00F52093">
        <w:t xml:space="preserve">mme, but where combined with others could give cause for concern. </w:t>
      </w:r>
      <w:r w:rsidRPr="00F52093">
        <w:rPr>
          <w:bCs/>
          <w:i/>
          <w:iCs/>
        </w:rPr>
        <w:t>Specific remedial action is desirable</w:t>
      </w:r>
      <w:r w:rsidRPr="00F52093">
        <w:rPr>
          <w:bCs/>
          <w:iCs/>
        </w:rPr>
        <w:t>.</w:t>
      </w:r>
    </w:p>
    <w:p w:rsidR="00D41E38" w:rsidRPr="00F52093" w:rsidRDefault="00372175" w:rsidP="00094F8C">
      <w:pPr>
        <w:pStyle w:val="Rparagraph"/>
        <w:rPr>
          <w:lang w:eastAsia="en-GB"/>
        </w:rPr>
      </w:pPr>
      <w:r>
        <w:rPr>
          <w:lang w:eastAsia="en-GB"/>
        </w:rPr>
        <w:t>The overall risk ratings applied by Deloitte to its reports, and the descriptions of risk mitigation and control effectiveness are as follows.</w:t>
      </w:r>
    </w:p>
    <w:tbl>
      <w:tblPr>
        <w:tblStyle w:val="TableGrid"/>
        <w:tblW w:w="0" w:type="auto"/>
        <w:tblInd w:w="454" w:type="dxa"/>
        <w:tblLook w:val="04A0" w:firstRow="1" w:lastRow="0" w:firstColumn="1" w:lastColumn="0" w:noHBand="0" w:noVBand="1"/>
      </w:tblPr>
      <w:tblGrid>
        <w:gridCol w:w="1809"/>
        <w:gridCol w:w="6753"/>
      </w:tblGrid>
      <w:tr w:rsidR="007851B9" w:rsidTr="00D41E38">
        <w:trPr>
          <w:tblHeader/>
        </w:trPr>
        <w:tc>
          <w:tcPr>
            <w:tcW w:w="1809" w:type="dxa"/>
            <w:shd w:val="clear" w:color="auto" w:fill="D9D9D9" w:themeFill="background1" w:themeFillShade="D9"/>
          </w:tcPr>
          <w:p w:rsidR="00D41E38" w:rsidRPr="00B510AA" w:rsidRDefault="00372175" w:rsidP="00D41E38">
            <w:pPr>
              <w:spacing w:before="120" w:after="120"/>
              <w:rPr>
                <w:rFonts w:ascii="Arial" w:hAnsi="Arial" w:cs="Arial"/>
                <w:b/>
                <w:sz w:val="24"/>
                <w:szCs w:val="24"/>
              </w:rPr>
            </w:pPr>
            <w:r>
              <w:rPr>
                <w:rFonts w:ascii="Arial" w:hAnsi="Arial" w:cs="Arial"/>
                <w:b/>
                <w:sz w:val="24"/>
                <w:szCs w:val="24"/>
              </w:rPr>
              <w:t xml:space="preserve">Overall </w:t>
            </w:r>
            <w:r>
              <w:rPr>
                <w:rFonts w:ascii="Arial" w:hAnsi="Arial" w:cs="Arial"/>
                <w:b/>
                <w:sz w:val="24"/>
                <w:szCs w:val="24"/>
              </w:rPr>
              <w:t>report r</w:t>
            </w:r>
            <w:r w:rsidRPr="00B510AA">
              <w:rPr>
                <w:rFonts w:ascii="Arial" w:hAnsi="Arial" w:cs="Arial"/>
                <w:b/>
                <w:sz w:val="24"/>
                <w:szCs w:val="24"/>
              </w:rPr>
              <w:t>ating</w:t>
            </w:r>
          </w:p>
        </w:tc>
        <w:tc>
          <w:tcPr>
            <w:tcW w:w="6753" w:type="dxa"/>
            <w:shd w:val="clear" w:color="auto" w:fill="D9D9D9" w:themeFill="background1" w:themeFillShade="D9"/>
          </w:tcPr>
          <w:p w:rsidR="00D41E38" w:rsidRPr="00B510AA" w:rsidRDefault="00372175" w:rsidP="004613CB">
            <w:pPr>
              <w:spacing w:before="120" w:after="120"/>
              <w:rPr>
                <w:rFonts w:ascii="Arial" w:hAnsi="Arial" w:cs="Arial"/>
                <w:b/>
                <w:sz w:val="24"/>
                <w:szCs w:val="24"/>
              </w:rPr>
            </w:pPr>
            <w:r w:rsidRPr="00B510AA">
              <w:rPr>
                <w:rFonts w:ascii="Arial" w:hAnsi="Arial" w:cs="Arial"/>
                <w:b/>
                <w:sz w:val="24"/>
                <w:szCs w:val="24"/>
              </w:rPr>
              <w:t>Description of risk mitigation and control effectiveness</w:t>
            </w:r>
          </w:p>
        </w:tc>
      </w:tr>
      <w:tr w:rsidR="007851B9" w:rsidTr="00D41E38">
        <w:tc>
          <w:tcPr>
            <w:tcW w:w="1809" w:type="dxa"/>
          </w:tcPr>
          <w:p w:rsidR="00D41E38" w:rsidRDefault="00372175" w:rsidP="004613CB">
            <w:pPr>
              <w:spacing w:before="120" w:after="120"/>
              <w:rPr>
                <w:rFonts w:ascii="Arial" w:hAnsi="Arial" w:cs="Arial"/>
                <w:sz w:val="24"/>
                <w:szCs w:val="24"/>
              </w:rPr>
            </w:pPr>
            <w:r>
              <w:rPr>
                <w:rFonts w:ascii="Arial" w:hAnsi="Arial" w:cs="Arial"/>
                <w:sz w:val="24"/>
                <w:szCs w:val="24"/>
              </w:rPr>
              <w:t>Ineffective</w:t>
            </w:r>
          </w:p>
        </w:tc>
        <w:tc>
          <w:tcPr>
            <w:tcW w:w="6753" w:type="dxa"/>
          </w:tcPr>
          <w:p w:rsidR="00D41E38" w:rsidRDefault="00372175" w:rsidP="004613CB">
            <w:pPr>
              <w:spacing w:before="120" w:after="120"/>
              <w:rPr>
                <w:rFonts w:ascii="Arial" w:hAnsi="Arial" w:cs="Arial"/>
                <w:sz w:val="24"/>
                <w:szCs w:val="24"/>
              </w:rPr>
            </w:pPr>
            <w:r>
              <w:rPr>
                <w:rFonts w:ascii="Arial" w:hAnsi="Arial" w:cs="Arial"/>
                <w:sz w:val="24"/>
                <w:szCs w:val="24"/>
              </w:rPr>
              <w:t>Risk mitigation or control absent or ineffective – high risk of failure in prevention, detection, and risk mitigation and/ or control activities for audited functions, proc</w:t>
            </w:r>
            <w:r>
              <w:rPr>
                <w:rFonts w:ascii="Arial" w:hAnsi="Arial" w:cs="Arial"/>
                <w:sz w:val="24"/>
                <w:szCs w:val="24"/>
              </w:rPr>
              <w:t>esses and activities.</w:t>
            </w:r>
          </w:p>
          <w:p w:rsidR="00D41E38" w:rsidRDefault="00372175" w:rsidP="004613CB">
            <w:pPr>
              <w:spacing w:before="120" w:after="120"/>
              <w:rPr>
                <w:rFonts w:ascii="Arial" w:hAnsi="Arial" w:cs="Arial"/>
                <w:sz w:val="24"/>
                <w:szCs w:val="24"/>
              </w:rPr>
            </w:pPr>
            <w:r>
              <w:rPr>
                <w:rFonts w:ascii="Arial" w:hAnsi="Arial" w:cs="Arial"/>
                <w:sz w:val="24"/>
                <w:szCs w:val="24"/>
              </w:rPr>
              <w:t>Multiple high priority findings/ issues or significant number of either high or medium priority findings/ issues.</w:t>
            </w:r>
          </w:p>
        </w:tc>
      </w:tr>
      <w:tr w:rsidR="007851B9" w:rsidTr="00D41E38">
        <w:tc>
          <w:tcPr>
            <w:tcW w:w="1809" w:type="dxa"/>
          </w:tcPr>
          <w:p w:rsidR="00D41E38" w:rsidRDefault="00372175" w:rsidP="004613CB">
            <w:pPr>
              <w:spacing w:before="120" w:after="120"/>
              <w:rPr>
                <w:rFonts w:ascii="Arial" w:hAnsi="Arial" w:cs="Arial"/>
                <w:sz w:val="24"/>
                <w:szCs w:val="24"/>
              </w:rPr>
            </w:pPr>
            <w:r>
              <w:rPr>
                <w:rFonts w:ascii="Arial" w:hAnsi="Arial" w:cs="Arial"/>
                <w:sz w:val="24"/>
                <w:szCs w:val="24"/>
              </w:rPr>
              <w:lastRenderedPageBreak/>
              <w:t>Effective with scope for improvement</w:t>
            </w:r>
          </w:p>
        </w:tc>
        <w:tc>
          <w:tcPr>
            <w:tcW w:w="6753" w:type="dxa"/>
          </w:tcPr>
          <w:p w:rsidR="00D41E38" w:rsidRDefault="00372175" w:rsidP="004613CB">
            <w:pPr>
              <w:spacing w:before="120" w:after="120"/>
              <w:rPr>
                <w:rFonts w:ascii="Arial" w:hAnsi="Arial" w:cs="Arial"/>
                <w:sz w:val="24"/>
                <w:szCs w:val="24"/>
              </w:rPr>
            </w:pPr>
            <w:r>
              <w:rPr>
                <w:rFonts w:ascii="Arial" w:hAnsi="Arial" w:cs="Arial"/>
                <w:sz w:val="24"/>
                <w:szCs w:val="24"/>
              </w:rPr>
              <w:t>Risk mitigation activities and controls may be compromised or fail – moderate risk</w:t>
            </w:r>
            <w:r>
              <w:rPr>
                <w:rFonts w:ascii="Arial" w:hAnsi="Arial" w:cs="Arial"/>
                <w:sz w:val="24"/>
                <w:szCs w:val="24"/>
              </w:rPr>
              <w:t xml:space="preserve"> of failure in risk mitigation and control with some need and justification to improve risk mitigation and control activities for audited functions, processes and activities.</w:t>
            </w:r>
          </w:p>
          <w:p w:rsidR="00D41E38" w:rsidRDefault="00372175" w:rsidP="004613CB">
            <w:pPr>
              <w:spacing w:before="120" w:after="120"/>
              <w:rPr>
                <w:rFonts w:ascii="Arial" w:hAnsi="Arial" w:cs="Arial"/>
                <w:sz w:val="24"/>
                <w:szCs w:val="24"/>
              </w:rPr>
            </w:pPr>
            <w:r>
              <w:rPr>
                <w:rFonts w:ascii="Arial" w:hAnsi="Arial" w:cs="Arial"/>
                <w:sz w:val="24"/>
                <w:szCs w:val="24"/>
              </w:rPr>
              <w:t>Some high priority issues or a significant number of medium and low priority find</w:t>
            </w:r>
            <w:r>
              <w:rPr>
                <w:rFonts w:ascii="Arial" w:hAnsi="Arial" w:cs="Arial"/>
                <w:sz w:val="24"/>
                <w:szCs w:val="24"/>
              </w:rPr>
              <w:t>ings/ issues.</w:t>
            </w:r>
          </w:p>
        </w:tc>
      </w:tr>
      <w:tr w:rsidR="007851B9" w:rsidTr="00D41E38">
        <w:tc>
          <w:tcPr>
            <w:tcW w:w="1809" w:type="dxa"/>
          </w:tcPr>
          <w:p w:rsidR="00D41E38" w:rsidRDefault="00372175" w:rsidP="004613CB">
            <w:pPr>
              <w:spacing w:before="120" w:after="120"/>
              <w:rPr>
                <w:rFonts w:ascii="Arial" w:hAnsi="Arial" w:cs="Arial"/>
                <w:sz w:val="24"/>
                <w:szCs w:val="24"/>
              </w:rPr>
            </w:pPr>
            <w:r>
              <w:rPr>
                <w:rFonts w:ascii="Arial" w:hAnsi="Arial" w:cs="Arial"/>
                <w:sz w:val="24"/>
                <w:szCs w:val="24"/>
              </w:rPr>
              <w:t>Effective</w:t>
            </w:r>
          </w:p>
        </w:tc>
        <w:tc>
          <w:tcPr>
            <w:tcW w:w="6753" w:type="dxa"/>
          </w:tcPr>
          <w:p w:rsidR="00D41E38" w:rsidRDefault="00372175" w:rsidP="004613CB">
            <w:pPr>
              <w:spacing w:before="120" w:after="120"/>
              <w:rPr>
                <w:rFonts w:ascii="Arial" w:hAnsi="Arial" w:cs="Arial"/>
                <w:sz w:val="24"/>
                <w:szCs w:val="24"/>
              </w:rPr>
            </w:pPr>
            <w:r>
              <w:rPr>
                <w:rFonts w:ascii="Arial" w:hAnsi="Arial" w:cs="Arial"/>
                <w:sz w:val="24"/>
                <w:szCs w:val="24"/>
              </w:rPr>
              <w:t>Compliant (adequate in the circumstances) – low risk of failure in risk mitigation and control and some scope or justification to improve risk mitigation and control activities for audited functions, processes and activities.</w:t>
            </w:r>
          </w:p>
          <w:p w:rsidR="00D41E38" w:rsidRDefault="00372175" w:rsidP="004613CB">
            <w:pPr>
              <w:spacing w:before="120" w:after="120"/>
              <w:rPr>
                <w:rFonts w:ascii="Arial" w:hAnsi="Arial" w:cs="Arial"/>
                <w:sz w:val="24"/>
                <w:szCs w:val="24"/>
              </w:rPr>
            </w:pPr>
            <w:r>
              <w:rPr>
                <w:rFonts w:ascii="Arial" w:hAnsi="Arial" w:cs="Arial"/>
                <w:sz w:val="24"/>
                <w:szCs w:val="24"/>
              </w:rPr>
              <w:t xml:space="preserve">No </w:t>
            </w:r>
            <w:r>
              <w:rPr>
                <w:rFonts w:ascii="Arial" w:hAnsi="Arial" w:cs="Arial"/>
                <w:sz w:val="24"/>
                <w:szCs w:val="24"/>
              </w:rPr>
              <w:t>high priority findings/ issues. Some moderate and low priority findings/ issues.</w:t>
            </w:r>
          </w:p>
        </w:tc>
      </w:tr>
    </w:tbl>
    <w:p w:rsidR="00D41E38" w:rsidRDefault="00372175" w:rsidP="00D41E38">
      <w:pPr>
        <w:pStyle w:val="Rblankparagraph"/>
      </w:pPr>
    </w:p>
    <w:tbl>
      <w:tblPr>
        <w:tblStyle w:val="TableGrid"/>
        <w:tblW w:w="0" w:type="auto"/>
        <w:tblInd w:w="454" w:type="dxa"/>
        <w:tblLook w:val="04A0" w:firstRow="1" w:lastRow="0" w:firstColumn="1" w:lastColumn="0" w:noHBand="0" w:noVBand="1"/>
      </w:tblPr>
      <w:tblGrid>
        <w:gridCol w:w="1809"/>
        <w:gridCol w:w="6753"/>
      </w:tblGrid>
      <w:tr w:rsidR="007851B9" w:rsidTr="00D41E38">
        <w:trPr>
          <w:tblHeader/>
        </w:trPr>
        <w:tc>
          <w:tcPr>
            <w:tcW w:w="1809" w:type="dxa"/>
            <w:shd w:val="clear" w:color="auto" w:fill="D9D9D9" w:themeFill="background1" w:themeFillShade="D9"/>
          </w:tcPr>
          <w:p w:rsidR="00D41E38" w:rsidRPr="00B510AA" w:rsidRDefault="00372175" w:rsidP="004613CB">
            <w:pPr>
              <w:spacing w:before="120" w:after="120"/>
              <w:rPr>
                <w:rFonts w:ascii="Arial" w:hAnsi="Arial" w:cs="Arial"/>
                <w:b/>
                <w:sz w:val="24"/>
                <w:szCs w:val="24"/>
              </w:rPr>
            </w:pPr>
            <w:r w:rsidRPr="00B510AA">
              <w:rPr>
                <w:rFonts w:ascii="Arial" w:hAnsi="Arial" w:cs="Arial"/>
                <w:b/>
                <w:sz w:val="24"/>
                <w:szCs w:val="24"/>
              </w:rPr>
              <w:t>R</w:t>
            </w:r>
            <w:r>
              <w:rPr>
                <w:rFonts w:ascii="Arial" w:hAnsi="Arial" w:cs="Arial"/>
                <w:b/>
                <w:sz w:val="24"/>
                <w:szCs w:val="24"/>
              </w:rPr>
              <w:t>isk r</w:t>
            </w:r>
            <w:r w:rsidRPr="00B510AA">
              <w:rPr>
                <w:rFonts w:ascii="Arial" w:hAnsi="Arial" w:cs="Arial"/>
                <w:b/>
                <w:sz w:val="24"/>
                <w:szCs w:val="24"/>
              </w:rPr>
              <w:t>ating</w:t>
            </w:r>
          </w:p>
        </w:tc>
        <w:tc>
          <w:tcPr>
            <w:tcW w:w="6753" w:type="dxa"/>
            <w:shd w:val="clear" w:color="auto" w:fill="D9D9D9" w:themeFill="background1" w:themeFillShade="D9"/>
          </w:tcPr>
          <w:p w:rsidR="00D41E38" w:rsidRPr="00B510AA" w:rsidRDefault="00372175" w:rsidP="004613CB">
            <w:pPr>
              <w:spacing w:before="120" w:after="120"/>
              <w:rPr>
                <w:rFonts w:ascii="Arial" w:hAnsi="Arial" w:cs="Arial"/>
                <w:b/>
                <w:sz w:val="24"/>
                <w:szCs w:val="24"/>
              </w:rPr>
            </w:pPr>
            <w:r w:rsidRPr="00B510AA">
              <w:rPr>
                <w:rFonts w:ascii="Arial" w:hAnsi="Arial" w:cs="Arial"/>
                <w:b/>
                <w:sz w:val="24"/>
                <w:szCs w:val="24"/>
              </w:rPr>
              <w:t>Description of risk mitigation and control effectiveness</w:t>
            </w:r>
          </w:p>
        </w:tc>
      </w:tr>
      <w:tr w:rsidR="007851B9" w:rsidTr="00D41E38">
        <w:tc>
          <w:tcPr>
            <w:tcW w:w="1809" w:type="dxa"/>
          </w:tcPr>
          <w:p w:rsidR="00D41E38" w:rsidRDefault="00372175" w:rsidP="004613CB">
            <w:pPr>
              <w:spacing w:before="120" w:after="120"/>
              <w:rPr>
                <w:rFonts w:ascii="Arial" w:hAnsi="Arial" w:cs="Arial"/>
                <w:sz w:val="24"/>
                <w:szCs w:val="24"/>
              </w:rPr>
            </w:pPr>
            <w:r>
              <w:rPr>
                <w:rFonts w:ascii="Arial" w:hAnsi="Arial" w:cs="Arial"/>
                <w:sz w:val="24"/>
                <w:szCs w:val="24"/>
              </w:rPr>
              <w:t>High</w:t>
            </w:r>
          </w:p>
        </w:tc>
        <w:tc>
          <w:tcPr>
            <w:tcW w:w="6753" w:type="dxa"/>
          </w:tcPr>
          <w:p w:rsidR="00D41E38" w:rsidRDefault="00372175" w:rsidP="004613CB">
            <w:pPr>
              <w:spacing w:before="120" w:after="120"/>
              <w:rPr>
                <w:rFonts w:ascii="Arial" w:hAnsi="Arial" w:cs="Arial"/>
                <w:sz w:val="24"/>
                <w:szCs w:val="24"/>
              </w:rPr>
            </w:pPr>
            <w:r>
              <w:rPr>
                <w:rFonts w:ascii="Arial" w:hAnsi="Arial" w:cs="Arial"/>
                <w:sz w:val="24"/>
                <w:szCs w:val="24"/>
              </w:rPr>
              <w:t>The issue presents a risk that involves a direct exposure to significant assets or a significant p</w:t>
            </w:r>
            <w:r>
              <w:rPr>
                <w:rFonts w:ascii="Arial" w:hAnsi="Arial" w:cs="Arial"/>
                <w:sz w:val="24"/>
                <w:szCs w:val="24"/>
              </w:rPr>
              <w:t>otential financial loss. Lack of appropriate controls could have a considerable impact on operations, compliance with laws and regulations, or financial results.</w:t>
            </w:r>
          </w:p>
        </w:tc>
      </w:tr>
      <w:tr w:rsidR="007851B9" w:rsidTr="00D41E38">
        <w:tc>
          <w:tcPr>
            <w:tcW w:w="1809" w:type="dxa"/>
          </w:tcPr>
          <w:p w:rsidR="00D41E38" w:rsidRDefault="00372175" w:rsidP="004613CB">
            <w:pPr>
              <w:spacing w:before="120" w:after="120"/>
              <w:rPr>
                <w:rFonts w:ascii="Arial" w:hAnsi="Arial" w:cs="Arial"/>
                <w:sz w:val="24"/>
                <w:szCs w:val="24"/>
              </w:rPr>
            </w:pPr>
            <w:r>
              <w:rPr>
                <w:rFonts w:ascii="Arial" w:hAnsi="Arial" w:cs="Arial"/>
                <w:sz w:val="24"/>
                <w:szCs w:val="24"/>
              </w:rPr>
              <w:t>Medium</w:t>
            </w:r>
          </w:p>
        </w:tc>
        <w:tc>
          <w:tcPr>
            <w:tcW w:w="6753" w:type="dxa"/>
          </w:tcPr>
          <w:p w:rsidR="00D41E38" w:rsidRDefault="00372175" w:rsidP="004613CB">
            <w:pPr>
              <w:spacing w:before="120" w:after="120"/>
              <w:rPr>
                <w:rFonts w:ascii="Arial" w:hAnsi="Arial" w:cs="Arial"/>
                <w:sz w:val="24"/>
                <w:szCs w:val="24"/>
              </w:rPr>
            </w:pPr>
            <w:r>
              <w:rPr>
                <w:rFonts w:ascii="Arial" w:hAnsi="Arial" w:cs="Arial"/>
                <w:sz w:val="24"/>
                <w:szCs w:val="24"/>
              </w:rPr>
              <w:t>The issue presents a risk, which involves an indirect exposure to significant assets a</w:t>
            </w:r>
            <w:r>
              <w:rPr>
                <w:rFonts w:ascii="Arial" w:hAnsi="Arial" w:cs="Arial"/>
                <w:sz w:val="24"/>
                <w:szCs w:val="24"/>
              </w:rPr>
              <w:t>nd could have a moderate impact on operations, compliance with laws and regulations, or financial results.</w:t>
            </w:r>
          </w:p>
        </w:tc>
      </w:tr>
      <w:tr w:rsidR="007851B9" w:rsidTr="00D41E38">
        <w:tc>
          <w:tcPr>
            <w:tcW w:w="1809" w:type="dxa"/>
          </w:tcPr>
          <w:p w:rsidR="00D41E38" w:rsidRDefault="00372175" w:rsidP="004613CB">
            <w:pPr>
              <w:spacing w:before="120" w:after="120"/>
              <w:rPr>
                <w:rFonts w:ascii="Arial" w:hAnsi="Arial" w:cs="Arial"/>
                <w:sz w:val="24"/>
                <w:szCs w:val="24"/>
              </w:rPr>
            </w:pPr>
            <w:r>
              <w:rPr>
                <w:rFonts w:ascii="Arial" w:hAnsi="Arial" w:cs="Arial"/>
                <w:sz w:val="24"/>
                <w:szCs w:val="24"/>
              </w:rPr>
              <w:t>Low</w:t>
            </w:r>
          </w:p>
        </w:tc>
        <w:tc>
          <w:tcPr>
            <w:tcW w:w="6753" w:type="dxa"/>
          </w:tcPr>
          <w:p w:rsidR="00D41E38" w:rsidRDefault="00372175" w:rsidP="004613CB">
            <w:pPr>
              <w:spacing w:before="120" w:after="120"/>
              <w:rPr>
                <w:rFonts w:ascii="Arial" w:hAnsi="Arial" w:cs="Arial"/>
                <w:sz w:val="24"/>
                <w:szCs w:val="24"/>
              </w:rPr>
            </w:pPr>
            <w:r>
              <w:rPr>
                <w:rFonts w:ascii="Arial" w:hAnsi="Arial" w:cs="Arial"/>
                <w:sz w:val="24"/>
                <w:szCs w:val="24"/>
              </w:rPr>
              <w:t>The issue and associated risks have limited impact on operations, compliance with laws and regulations, or financial results.</w:t>
            </w:r>
          </w:p>
        </w:tc>
      </w:tr>
    </w:tbl>
    <w:p w:rsidR="00D41E38" w:rsidRPr="00873C5A" w:rsidRDefault="00372175" w:rsidP="00D41E38">
      <w:pPr>
        <w:pStyle w:val="Rblankparagraph"/>
      </w:pPr>
    </w:p>
    <w:sectPr w:rsidR="00D41E38" w:rsidRPr="00873C5A" w:rsidSect="008461D7">
      <w:headerReference w:type="default" r:id="rId8"/>
      <w:footerReference w:type="default" r:id="rId9"/>
      <w:pgSz w:w="11906" w:h="16838" w:code="9"/>
      <w:pgMar w:top="1440" w:right="1440" w:bottom="1276"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72175">
      <w:pPr>
        <w:spacing w:after="0" w:line="240" w:lineRule="auto"/>
      </w:pPr>
      <w:r>
        <w:separator/>
      </w:r>
    </w:p>
  </w:endnote>
  <w:endnote w:type="continuationSeparator" w:id="0">
    <w:p w:rsidR="00000000" w:rsidRDefault="00372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A4" w:rsidRPr="004224A4" w:rsidRDefault="00372175" w:rsidP="004224A4">
    <w:pPr>
      <w:pStyle w:val="Footer"/>
      <w:jc w:val="right"/>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72175">
      <w:pPr>
        <w:spacing w:after="0" w:line="240" w:lineRule="auto"/>
      </w:pPr>
      <w:r>
        <w:separator/>
      </w:r>
    </w:p>
  </w:footnote>
  <w:footnote w:type="continuationSeparator" w:id="0">
    <w:p w:rsidR="00000000" w:rsidRDefault="003721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E7A" w:rsidRPr="008461D7" w:rsidRDefault="00372175">
    <w:pPr>
      <w:pStyle w:val="Header"/>
      <w:rPr>
        <w:rFonts w:ascii="Arial" w:hAnsi="Arial" w:cs="Arial"/>
        <w:b/>
        <w:sz w:val="20"/>
        <w:szCs w:val="20"/>
      </w:rPr>
    </w:pPr>
    <w:sdt>
      <w:sdtPr>
        <w:rPr>
          <w:rFonts w:ascii="Arial" w:hAnsi="Arial" w:cs="Arial"/>
          <w:b/>
          <w:sz w:val="20"/>
          <w:szCs w:val="20"/>
        </w:rPr>
        <w:id w:val="1653330336"/>
        <w:docPartObj>
          <w:docPartGallery w:val="Watermarks"/>
          <w:docPartUnique/>
        </w:docPartObj>
      </w:sdtPr>
      <w:sdtEndPr/>
      <w:sdtContent>
        <w:r>
          <w:rPr>
            <w:rFonts w:ascii="Arial" w:hAnsi="Arial" w:cs="Arial"/>
            <w:b/>
            <w:noProof/>
            <w:sz w:val="20"/>
            <w:szCs w:val="20"/>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8461D7">
      <w:rPr>
        <w:rFonts w:ascii="Arial" w:hAnsi="Arial" w:cs="Arial"/>
        <w:b/>
        <w:sz w:val="20"/>
        <w:szCs w:val="20"/>
      </w:rPr>
      <w:t>Internal audit assurance for the Pension Fund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213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460A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D635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2AB1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20C7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9EFC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704B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F4C0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EEC445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E52CA4"/>
    <w:multiLevelType w:val="multilevel"/>
    <w:tmpl w:val="976CB93E"/>
    <w:styleLink w:val="Ruthstandard"/>
    <w:lvl w:ilvl="0">
      <w:start w:val="1"/>
      <w:numFmt w:val="decimal"/>
      <w:lvlText w:val="%1."/>
      <w:lvlJc w:val="left"/>
      <w:pPr>
        <w:ind w:left="360" w:hanging="360"/>
      </w:pPr>
      <w:rPr>
        <w:rFonts w:ascii="Arial" w:hAnsi="Arial"/>
        <w:caps w:val="0"/>
        <w:smallCaps w:val="0"/>
        <w:strike w:val="0"/>
        <w:dstrike w:val="0"/>
        <w:vanish w:val="0"/>
        <w:sz w:val="28"/>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61A4062"/>
    <w:multiLevelType w:val="hybridMultilevel"/>
    <w:tmpl w:val="513AA548"/>
    <w:lvl w:ilvl="0" w:tplc="F9F48E20">
      <w:start w:val="1"/>
      <w:numFmt w:val="decimal"/>
      <w:lvlText w:val="%1."/>
      <w:lvlJc w:val="left"/>
      <w:pPr>
        <w:ind w:left="720" w:hanging="360"/>
      </w:pPr>
      <w:rPr>
        <w:rFonts w:ascii="Arial" w:hAnsi="Arial" w:hint="default"/>
        <w:b w:val="0"/>
        <w:i w:val="0"/>
        <w:caps w:val="0"/>
        <w:strike w:val="0"/>
        <w:dstrike w:val="0"/>
        <w:vanish w:val="0"/>
        <w:color w:val="auto"/>
        <w:sz w:val="24"/>
        <w:vertAlign w:val="baseline"/>
      </w:rPr>
    </w:lvl>
    <w:lvl w:ilvl="1" w:tplc="FBD49C78" w:tentative="1">
      <w:start w:val="1"/>
      <w:numFmt w:val="lowerLetter"/>
      <w:lvlText w:val="%2."/>
      <w:lvlJc w:val="left"/>
      <w:pPr>
        <w:ind w:left="1440" w:hanging="360"/>
      </w:pPr>
    </w:lvl>
    <w:lvl w:ilvl="2" w:tplc="33084A20" w:tentative="1">
      <w:start w:val="1"/>
      <w:numFmt w:val="lowerRoman"/>
      <w:lvlText w:val="%3."/>
      <w:lvlJc w:val="right"/>
      <w:pPr>
        <w:ind w:left="2160" w:hanging="180"/>
      </w:pPr>
    </w:lvl>
    <w:lvl w:ilvl="3" w:tplc="0D0E513A" w:tentative="1">
      <w:start w:val="1"/>
      <w:numFmt w:val="decimal"/>
      <w:lvlText w:val="%4."/>
      <w:lvlJc w:val="left"/>
      <w:pPr>
        <w:ind w:left="2880" w:hanging="360"/>
      </w:pPr>
    </w:lvl>
    <w:lvl w:ilvl="4" w:tplc="B0928046" w:tentative="1">
      <w:start w:val="1"/>
      <w:numFmt w:val="lowerLetter"/>
      <w:lvlText w:val="%5."/>
      <w:lvlJc w:val="left"/>
      <w:pPr>
        <w:ind w:left="3600" w:hanging="360"/>
      </w:pPr>
    </w:lvl>
    <w:lvl w:ilvl="5" w:tplc="8368CD06" w:tentative="1">
      <w:start w:val="1"/>
      <w:numFmt w:val="lowerRoman"/>
      <w:lvlText w:val="%6."/>
      <w:lvlJc w:val="right"/>
      <w:pPr>
        <w:ind w:left="4320" w:hanging="180"/>
      </w:pPr>
    </w:lvl>
    <w:lvl w:ilvl="6" w:tplc="DA3E2A9E" w:tentative="1">
      <w:start w:val="1"/>
      <w:numFmt w:val="decimal"/>
      <w:lvlText w:val="%7."/>
      <w:lvlJc w:val="left"/>
      <w:pPr>
        <w:ind w:left="5040" w:hanging="360"/>
      </w:pPr>
    </w:lvl>
    <w:lvl w:ilvl="7" w:tplc="4FEA3184" w:tentative="1">
      <w:start w:val="1"/>
      <w:numFmt w:val="lowerLetter"/>
      <w:lvlText w:val="%8."/>
      <w:lvlJc w:val="left"/>
      <w:pPr>
        <w:ind w:left="5760" w:hanging="360"/>
      </w:pPr>
    </w:lvl>
    <w:lvl w:ilvl="8" w:tplc="ECA4E388" w:tentative="1">
      <w:start w:val="1"/>
      <w:numFmt w:val="lowerRoman"/>
      <w:lvlText w:val="%9."/>
      <w:lvlJc w:val="right"/>
      <w:pPr>
        <w:ind w:left="6480" w:hanging="180"/>
      </w:pPr>
    </w:lvl>
  </w:abstractNum>
  <w:abstractNum w:abstractNumId="11" w15:restartNumberingAfterBreak="0">
    <w:nsid w:val="0BAE3156"/>
    <w:multiLevelType w:val="multilevel"/>
    <w:tmpl w:val="41FE2414"/>
    <w:lvl w:ilvl="0">
      <w:start w:val="1"/>
      <w:numFmt w:val="decimal"/>
      <w:lvlText w:val="%1"/>
      <w:lvlJc w:val="left"/>
      <w:pPr>
        <w:tabs>
          <w:tab w:val="num" w:pos="8081"/>
        </w:tabs>
        <w:ind w:left="8081" w:hanging="851"/>
      </w:pPr>
      <w:rPr>
        <w:rFonts w:ascii="Arial Bold" w:hAnsi="Arial Bold" w:cs="Times New Roman" w:hint="default"/>
        <w:b/>
        <w:i w:val="0"/>
        <w:sz w:val="28"/>
        <w:szCs w:val="28"/>
      </w:rPr>
    </w:lvl>
    <w:lvl w:ilvl="1">
      <w:start w:val="1"/>
      <w:numFmt w:val="decimal"/>
      <w:lvlText w:val="%1.%2"/>
      <w:lvlJc w:val="left"/>
      <w:pPr>
        <w:tabs>
          <w:tab w:val="num" w:pos="851"/>
        </w:tabs>
        <w:ind w:left="851" w:hanging="851"/>
      </w:pPr>
      <w:rPr>
        <w:rFonts w:ascii="Arial" w:hAnsi="Arial" w:cs="Times New Roman" w:hint="default"/>
        <w:b w:val="0"/>
        <w:i w:val="0"/>
        <w:sz w:val="24"/>
        <w:szCs w:val="24"/>
      </w:rPr>
    </w:lvl>
    <w:lvl w:ilvl="2">
      <w:start w:val="1"/>
      <w:numFmt w:val="bullet"/>
      <w:lvlText w:val=""/>
      <w:lvlJc w:val="left"/>
      <w:pPr>
        <w:tabs>
          <w:tab w:val="num" w:pos="1701"/>
        </w:tabs>
        <w:ind w:left="1701" w:hanging="850"/>
      </w:pPr>
      <w:rPr>
        <w:rFonts w:ascii="Symbol" w:hAnsi="Symbol"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12" w15:restartNumberingAfterBreak="0">
    <w:nsid w:val="47C75BDA"/>
    <w:multiLevelType w:val="hybridMultilevel"/>
    <w:tmpl w:val="27E6247C"/>
    <w:lvl w:ilvl="0" w:tplc="C82CF014">
      <w:start w:val="1"/>
      <w:numFmt w:val="bullet"/>
      <w:pStyle w:val="Rbullet"/>
      <w:lvlText w:val=""/>
      <w:lvlJc w:val="left"/>
      <w:pPr>
        <w:ind w:left="1440" w:hanging="360"/>
      </w:pPr>
      <w:rPr>
        <w:rFonts w:ascii="Symbol" w:hAnsi="Symbol" w:hint="default"/>
      </w:rPr>
    </w:lvl>
    <w:lvl w:ilvl="1" w:tplc="B4ACE27A" w:tentative="1">
      <w:start w:val="1"/>
      <w:numFmt w:val="bullet"/>
      <w:lvlText w:val="o"/>
      <w:lvlJc w:val="left"/>
      <w:pPr>
        <w:ind w:left="2160" w:hanging="360"/>
      </w:pPr>
      <w:rPr>
        <w:rFonts w:ascii="Courier New" w:hAnsi="Courier New" w:cs="Courier New" w:hint="default"/>
      </w:rPr>
    </w:lvl>
    <w:lvl w:ilvl="2" w:tplc="1424004A" w:tentative="1">
      <w:start w:val="1"/>
      <w:numFmt w:val="bullet"/>
      <w:lvlText w:val=""/>
      <w:lvlJc w:val="left"/>
      <w:pPr>
        <w:ind w:left="2880" w:hanging="360"/>
      </w:pPr>
      <w:rPr>
        <w:rFonts w:ascii="Wingdings" w:hAnsi="Wingdings" w:hint="default"/>
      </w:rPr>
    </w:lvl>
    <w:lvl w:ilvl="3" w:tplc="7D7214C2" w:tentative="1">
      <w:start w:val="1"/>
      <w:numFmt w:val="bullet"/>
      <w:lvlText w:val=""/>
      <w:lvlJc w:val="left"/>
      <w:pPr>
        <w:ind w:left="3600" w:hanging="360"/>
      </w:pPr>
      <w:rPr>
        <w:rFonts w:ascii="Symbol" w:hAnsi="Symbol" w:hint="default"/>
      </w:rPr>
    </w:lvl>
    <w:lvl w:ilvl="4" w:tplc="9DC0514A" w:tentative="1">
      <w:start w:val="1"/>
      <w:numFmt w:val="bullet"/>
      <w:lvlText w:val="o"/>
      <w:lvlJc w:val="left"/>
      <w:pPr>
        <w:ind w:left="4320" w:hanging="360"/>
      </w:pPr>
      <w:rPr>
        <w:rFonts w:ascii="Courier New" w:hAnsi="Courier New" w:cs="Courier New" w:hint="default"/>
      </w:rPr>
    </w:lvl>
    <w:lvl w:ilvl="5" w:tplc="090C7CDC" w:tentative="1">
      <w:start w:val="1"/>
      <w:numFmt w:val="bullet"/>
      <w:lvlText w:val=""/>
      <w:lvlJc w:val="left"/>
      <w:pPr>
        <w:ind w:left="5040" w:hanging="360"/>
      </w:pPr>
      <w:rPr>
        <w:rFonts w:ascii="Wingdings" w:hAnsi="Wingdings" w:hint="default"/>
      </w:rPr>
    </w:lvl>
    <w:lvl w:ilvl="6" w:tplc="83FA6BE8" w:tentative="1">
      <w:start w:val="1"/>
      <w:numFmt w:val="bullet"/>
      <w:lvlText w:val=""/>
      <w:lvlJc w:val="left"/>
      <w:pPr>
        <w:ind w:left="5760" w:hanging="360"/>
      </w:pPr>
      <w:rPr>
        <w:rFonts w:ascii="Symbol" w:hAnsi="Symbol" w:hint="default"/>
      </w:rPr>
    </w:lvl>
    <w:lvl w:ilvl="7" w:tplc="18087248" w:tentative="1">
      <w:start w:val="1"/>
      <w:numFmt w:val="bullet"/>
      <w:lvlText w:val="o"/>
      <w:lvlJc w:val="left"/>
      <w:pPr>
        <w:ind w:left="6480" w:hanging="360"/>
      </w:pPr>
      <w:rPr>
        <w:rFonts w:ascii="Courier New" w:hAnsi="Courier New" w:cs="Courier New" w:hint="default"/>
      </w:rPr>
    </w:lvl>
    <w:lvl w:ilvl="8" w:tplc="C2B65D4E" w:tentative="1">
      <w:start w:val="1"/>
      <w:numFmt w:val="bullet"/>
      <w:lvlText w:val=""/>
      <w:lvlJc w:val="left"/>
      <w:pPr>
        <w:ind w:left="7200" w:hanging="360"/>
      </w:pPr>
      <w:rPr>
        <w:rFonts w:ascii="Wingdings" w:hAnsi="Wingdings" w:hint="default"/>
      </w:rPr>
    </w:lvl>
  </w:abstractNum>
  <w:abstractNum w:abstractNumId="13" w15:restartNumberingAfterBreak="0">
    <w:nsid w:val="69536897"/>
    <w:multiLevelType w:val="multilevel"/>
    <w:tmpl w:val="E05235B2"/>
    <w:lvl w:ilvl="0">
      <w:start w:val="1"/>
      <w:numFmt w:val="decimal"/>
      <w:pStyle w:val="Rheading"/>
      <w:lvlText w:val="%1"/>
      <w:lvlJc w:val="left"/>
      <w:pPr>
        <w:ind w:left="567" w:hanging="567"/>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Rparagraph"/>
      <w:lvlText w:val="%1.%2"/>
      <w:lvlJc w:val="left"/>
      <w:pPr>
        <w:ind w:left="851" w:hanging="426"/>
      </w:pPr>
      <w:rPr>
        <w:rFonts w:ascii="Arial" w:hAnsi="Arial" w:hint="default"/>
        <w:b w:val="0"/>
        <w:i w:val="0"/>
        <w:caps w:val="0"/>
        <w:strike w:val="0"/>
        <w:dstrike w:val="0"/>
        <w:vanish w:val="0"/>
        <w:color w:val="auto"/>
        <w:sz w:val="24"/>
        <w:vertAlign w:val="baseline"/>
      </w:rPr>
    </w:lvl>
    <w:lvl w:ilvl="2">
      <w:start w:val="1"/>
      <w:numFmt w:val="lowerRoman"/>
      <w:pStyle w:val="Rthirdlevelparagraph"/>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CAE6F36"/>
    <w:multiLevelType w:val="multilevel"/>
    <w:tmpl w:val="6F522544"/>
    <w:styleLink w:val="Style1"/>
    <w:lvl w:ilvl="0">
      <w:start w:val="1"/>
      <w:numFmt w:val="decimal"/>
      <w:lvlText w:val="%1."/>
      <w:lvlJc w:val="left"/>
      <w:pPr>
        <w:ind w:left="425" w:hanging="425"/>
      </w:pPr>
      <w:rPr>
        <w:rFonts w:ascii="Arial" w:hAnsi="Arial"/>
        <w:b w:val="0"/>
        <w:i w:val="0"/>
        <w:caps w:val="0"/>
        <w:smallCaps w:val="0"/>
        <w:strike w:val="0"/>
        <w:dstrike w:val="0"/>
        <w:vanish w:val="0"/>
        <w:color w:val="auto"/>
        <w:sz w:val="24"/>
        <w:szCs w:val="28"/>
        <w:vertAlign w:val="baseline"/>
      </w:rPr>
    </w:lvl>
    <w:lvl w:ilvl="1">
      <w:start w:val="1"/>
      <w:numFmt w:val="decimal"/>
      <w:lvlText w:val="%1.%2"/>
      <w:lvlJc w:val="left"/>
      <w:pPr>
        <w:ind w:left="851" w:hanging="426"/>
      </w:pPr>
      <w:rPr>
        <w:rFonts w:ascii="Arial" w:hAnsi="Arial" w:hint="default"/>
        <w:b w:val="0"/>
        <w:i w:val="0"/>
        <w:caps w:val="0"/>
        <w:strike w:val="0"/>
        <w:dstrike w:val="0"/>
        <w:vanish w:val="0"/>
        <w:color w:val="auto"/>
        <w:sz w:val="24"/>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FF35EF6"/>
    <w:multiLevelType w:val="multilevel"/>
    <w:tmpl w:val="C73CFDD0"/>
    <w:lvl w:ilvl="0">
      <w:start w:val="1"/>
      <w:numFmt w:val="decimal"/>
      <w:lvlText w:val="%1."/>
      <w:lvlJc w:val="left"/>
      <w:pPr>
        <w:ind w:left="425" w:hanging="425"/>
      </w:pPr>
      <w:rPr>
        <w:rFonts w:ascii="Arial" w:hAnsi="Arial" w:hint="default"/>
        <w:b w:val="0"/>
        <w:i w:val="0"/>
        <w:caps w:val="0"/>
        <w:smallCaps w:val="0"/>
        <w:strike w:val="0"/>
        <w:dstrike w:val="0"/>
        <w:vanish w:val="0"/>
        <w:color w:val="auto"/>
        <w:sz w:val="24"/>
        <w:szCs w:val="28"/>
        <w:vertAlign w:val="baseline"/>
      </w:rPr>
    </w:lvl>
    <w:lvl w:ilvl="1">
      <w:start w:val="1"/>
      <w:numFmt w:val="decimal"/>
      <w:lvlText w:val="%1.%2"/>
      <w:lvlJc w:val="left"/>
      <w:pPr>
        <w:ind w:left="567" w:hanging="567"/>
      </w:pPr>
      <w:rPr>
        <w:rFonts w:ascii="Arial" w:hAnsi="Arial" w:hint="default"/>
        <w:b w:val="0"/>
        <w:i w:val="0"/>
        <w:caps w:val="0"/>
        <w:strike w:val="0"/>
        <w:dstrike w:val="0"/>
        <w:vanish w:val="0"/>
        <w:color w:val="auto"/>
        <w:sz w:val="24"/>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3"/>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0"/>
  </w:num>
  <w:num w:numId="13">
    <w:abstractNumId w:val="14"/>
  </w:num>
  <w:num w:numId="14">
    <w:abstractNumId w:val="15"/>
  </w:num>
  <w:num w:numId="15">
    <w:abstractNumId w:val="12"/>
  </w:num>
  <w:num w:numId="16">
    <w:abstractNumId w:val="13"/>
    <w:lvlOverride w:ilvl="0">
      <w:lvl w:ilvl="0">
        <w:start w:val="1"/>
        <w:numFmt w:val="decimal"/>
        <w:pStyle w:val="Rheading"/>
        <w:lvlText w:val="%1."/>
        <w:lvlJc w:val="left"/>
        <w:pPr>
          <w:ind w:left="567"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Override>
    <w:lvlOverride w:ilvl="1">
      <w:lvl w:ilvl="1">
        <w:start w:val="1"/>
        <w:numFmt w:val="decimal"/>
        <w:pStyle w:val="Rparagraph"/>
        <w:lvlText w:val="%1.%2"/>
        <w:lvlJc w:val="left"/>
        <w:pPr>
          <w:ind w:left="567" w:hanging="567"/>
        </w:pPr>
        <w:rPr>
          <w:rFonts w:ascii="Arial" w:hAnsi="Arial" w:hint="default"/>
          <w:b w:val="0"/>
          <w:i w:val="0"/>
          <w:caps w:val="0"/>
          <w:strike w:val="0"/>
          <w:dstrike w:val="0"/>
          <w:vanish w:val="0"/>
          <w:color w:val="auto"/>
          <w:sz w:val="24"/>
          <w:vertAlign w:val="baseline"/>
        </w:rPr>
      </w:lvl>
    </w:lvlOverride>
    <w:lvlOverride w:ilvl="2">
      <w:lvl w:ilvl="2">
        <w:start w:val="1"/>
        <w:numFmt w:val="lowerRoman"/>
        <w:pStyle w:val="Rthirdlevelparagraph"/>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13"/>
    <w:lvlOverride w:ilvl="0">
      <w:lvl w:ilvl="0">
        <w:start w:val="1"/>
        <w:numFmt w:val="decimal"/>
        <w:pStyle w:val="Rheading"/>
        <w:lvlText w:val="%1."/>
        <w:lvlJc w:val="left"/>
        <w:pPr>
          <w:ind w:left="567"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Override>
    <w:lvlOverride w:ilvl="1">
      <w:lvl w:ilvl="1">
        <w:start w:val="1"/>
        <w:numFmt w:val="decimal"/>
        <w:pStyle w:val="Rparagraph"/>
        <w:lvlText w:val="%1.%2"/>
        <w:lvlJc w:val="left"/>
        <w:pPr>
          <w:ind w:left="567" w:hanging="567"/>
        </w:pPr>
        <w:rPr>
          <w:rFonts w:ascii="Arial" w:hAnsi="Arial" w:hint="default"/>
          <w:b w:val="0"/>
          <w:i w:val="0"/>
          <w:caps w:val="0"/>
          <w:strike w:val="0"/>
          <w:dstrike w:val="0"/>
          <w:vanish w:val="0"/>
          <w:color w:val="auto"/>
          <w:sz w:val="24"/>
          <w:vertAlign w:val="baseline"/>
        </w:rPr>
      </w:lvl>
    </w:lvlOverride>
    <w:lvlOverride w:ilvl="2">
      <w:lvl w:ilvl="2">
        <w:start w:val="1"/>
        <w:numFmt w:val="lowerRoman"/>
        <w:pStyle w:val="Rthirdlevelparagraph"/>
        <w:lvlText w:val="%3)"/>
        <w:lvlJc w:val="left"/>
        <w:pPr>
          <w:ind w:left="1134" w:hanging="283"/>
        </w:pPr>
        <w:rPr>
          <w:rFonts w:ascii="Arial" w:hAnsi="Arial" w:hint="default"/>
          <w:b w:val="0"/>
          <w:i w:val="0"/>
          <w:caps w:val="0"/>
          <w:strike w:val="0"/>
          <w:dstrike w:val="0"/>
          <w:vanish w:val="0"/>
          <w:color w:val="auto"/>
          <w:sz w:val="24"/>
          <w:vertAlign w:val="baseline"/>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15"/>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1B9"/>
    <w:rsid w:val="00372175"/>
    <w:rsid w:val="00785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5:docId w15:val="{AD24B429-E606-4BF0-916C-46DABDDA2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E3D7B"/>
  </w:style>
  <w:style w:type="paragraph" w:styleId="Heading1">
    <w:name w:val="heading 1"/>
    <w:basedOn w:val="Normal"/>
    <w:next w:val="Normal"/>
    <w:link w:val="Heading1Char"/>
    <w:uiPriority w:val="9"/>
    <w:rsid w:val="00F02D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uthstandard">
    <w:name w:val="Ruth standard"/>
    <w:uiPriority w:val="99"/>
    <w:rsid w:val="00130762"/>
    <w:pPr>
      <w:numPr>
        <w:numId w:val="1"/>
      </w:numPr>
    </w:pPr>
  </w:style>
  <w:style w:type="paragraph" w:customStyle="1" w:styleId="Rtitle">
    <w:name w:val="R title"/>
    <w:basedOn w:val="Heading1"/>
    <w:link w:val="RtitleChar"/>
    <w:autoRedefine/>
    <w:qFormat/>
    <w:rsid w:val="000E3D7B"/>
    <w:pPr>
      <w:spacing w:after="360" w:line="240" w:lineRule="auto"/>
    </w:pPr>
    <w:rPr>
      <w:rFonts w:ascii="Arial" w:hAnsi="Arial" w:cs="Arial"/>
      <w:b/>
      <w:color w:val="auto"/>
      <w:szCs w:val="24"/>
    </w:rPr>
  </w:style>
  <w:style w:type="paragraph" w:customStyle="1" w:styleId="Rheading">
    <w:name w:val="R heading"/>
    <w:basedOn w:val="Subtitle"/>
    <w:link w:val="RheadingChar"/>
    <w:autoRedefine/>
    <w:qFormat/>
    <w:rsid w:val="00951213"/>
    <w:pPr>
      <w:numPr>
        <w:ilvl w:val="0"/>
        <w:numId w:val="3"/>
      </w:numPr>
      <w:spacing w:before="240" w:after="120" w:line="240" w:lineRule="auto"/>
    </w:pPr>
    <w:rPr>
      <w:rFonts w:ascii="Arial" w:hAnsi="Arial"/>
      <w:b/>
      <w:color w:val="auto"/>
      <w:spacing w:val="0"/>
      <w:sz w:val="28"/>
    </w:rPr>
  </w:style>
  <w:style w:type="character" w:customStyle="1" w:styleId="Heading1Char">
    <w:name w:val="Heading 1 Char"/>
    <w:basedOn w:val="DefaultParagraphFont"/>
    <w:link w:val="Heading1"/>
    <w:uiPriority w:val="9"/>
    <w:rsid w:val="00F02DC5"/>
    <w:rPr>
      <w:rFonts w:asciiTheme="majorHAnsi" w:eastAsiaTheme="majorEastAsia" w:hAnsiTheme="majorHAnsi" w:cstheme="majorBidi"/>
      <w:color w:val="2E74B5" w:themeColor="accent1" w:themeShade="BF"/>
      <w:sz w:val="32"/>
      <w:szCs w:val="32"/>
    </w:rPr>
  </w:style>
  <w:style w:type="character" w:customStyle="1" w:styleId="RtitleChar">
    <w:name w:val="R title Char"/>
    <w:basedOn w:val="Heading1Char"/>
    <w:link w:val="Rtitle"/>
    <w:rsid w:val="000E3D7B"/>
    <w:rPr>
      <w:rFonts w:ascii="Arial" w:eastAsiaTheme="majorEastAsia" w:hAnsi="Arial" w:cs="Arial"/>
      <w:b/>
      <w:color w:val="2E74B5" w:themeColor="accent1" w:themeShade="BF"/>
      <w:sz w:val="32"/>
      <w:szCs w:val="24"/>
    </w:rPr>
  </w:style>
  <w:style w:type="paragraph" w:customStyle="1" w:styleId="Rnumberedparagraph">
    <w:name w:val="R numbered paragraph"/>
    <w:basedOn w:val="Rparagraph"/>
    <w:link w:val="RnumberedparagraphChar"/>
    <w:autoRedefine/>
    <w:rsid w:val="0017397E"/>
  </w:style>
  <w:style w:type="paragraph" w:styleId="Subtitle">
    <w:name w:val="Subtitle"/>
    <w:basedOn w:val="Normal"/>
    <w:next w:val="Normal"/>
    <w:link w:val="SubtitleChar"/>
    <w:uiPriority w:val="11"/>
    <w:rsid w:val="008872C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872C9"/>
    <w:rPr>
      <w:rFonts w:eastAsiaTheme="minorEastAsia"/>
      <w:color w:val="5A5A5A" w:themeColor="text1" w:themeTint="A5"/>
      <w:spacing w:val="15"/>
    </w:rPr>
  </w:style>
  <w:style w:type="character" w:customStyle="1" w:styleId="RheadingChar">
    <w:name w:val="R heading Char"/>
    <w:basedOn w:val="SubtitleChar"/>
    <w:link w:val="Rheading"/>
    <w:rsid w:val="00951213"/>
    <w:rPr>
      <w:rFonts w:ascii="Arial" w:eastAsiaTheme="minorEastAsia" w:hAnsi="Arial"/>
      <w:b/>
      <w:color w:val="5A5A5A" w:themeColor="text1" w:themeTint="A5"/>
      <w:spacing w:val="15"/>
      <w:sz w:val="28"/>
    </w:rPr>
  </w:style>
  <w:style w:type="numbering" w:customStyle="1" w:styleId="Style1">
    <w:name w:val="Style1"/>
    <w:uiPriority w:val="99"/>
    <w:rsid w:val="00873C5A"/>
    <w:pPr>
      <w:numPr>
        <w:numId w:val="13"/>
      </w:numPr>
    </w:pPr>
  </w:style>
  <w:style w:type="paragraph" w:styleId="ListNumber">
    <w:name w:val="List Number"/>
    <w:basedOn w:val="Normal"/>
    <w:link w:val="ListNumberChar"/>
    <w:uiPriority w:val="99"/>
    <w:semiHidden/>
    <w:unhideWhenUsed/>
    <w:rsid w:val="008872C9"/>
    <w:pPr>
      <w:contextualSpacing/>
    </w:pPr>
  </w:style>
  <w:style w:type="character" w:customStyle="1" w:styleId="ListNumberChar">
    <w:name w:val="List Number Char"/>
    <w:basedOn w:val="DefaultParagraphFont"/>
    <w:link w:val="ListNumber"/>
    <w:uiPriority w:val="99"/>
    <w:semiHidden/>
    <w:rsid w:val="008872C9"/>
  </w:style>
  <w:style w:type="character" w:customStyle="1" w:styleId="RnumberedparagraphChar">
    <w:name w:val="R numbered paragraph Char"/>
    <w:basedOn w:val="ListNumberChar"/>
    <w:link w:val="Rnumberedparagraph"/>
    <w:rsid w:val="0017397E"/>
    <w:rPr>
      <w:rFonts w:ascii="Arial" w:eastAsiaTheme="minorEastAsia" w:hAnsi="Arial"/>
      <w:sz w:val="24"/>
    </w:rPr>
  </w:style>
  <w:style w:type="paragraph" w:customStyle="1" w:styleId="Rbullet">
    <w:name w:val="R bullet"/>
    <w:basedOn w:val="Rnumberedparagraph"/>
    <w:link w:val="RbulletChar"/>
    <w:autoRedefine/>
    <w:qFormat/>
    <w:rsid w:val="00291B97"/>
    <w:pPr>
      <w:numPr>
        <w:ilvl w:val="0"/>
        <w:numId w:val="15"/>
      </w:numPr>
      <w:ind w:left="1134" w:hanging="283"/>
    </w:pPr>
  </w:style>
  <w:style w:type="paragraph" w:customStyle="1" w:styleId="Rblankparagraph">
    <w:name w:val="R blank paragraph"/>
    <w:basedOn w:val="Rnumberedparagraph"/>
    <w:link w:val="RblankparagraphChar"/>
    <w:autoRedefine/>
    <w:qFormat/>
    <w:rsid w:val="000D1344"/>
    <w:pPr>
      <w:numPr>
        <w:ilvl w:val="0"/>
        <w:numId w:val="0"/>
      </w:numPr>
    </w:pPr>
  </w:style>
  <w:style w:type="character" w:customStyle="1" w:styleId="RbulletChar">
    <w:name w:val="R bullet Char"/>
    <w:basedOn w:val="RnumberedparagraphChar"/>
    <w:link w:val="Rbullet"/>
    <w:rsid w:val="00291B97"/>
    <w:rPr>
      <w:rFonts w:ascii="Arial" w:eastAsiaTheme="minorEastAsia" w:hAnsi="Arial"/>
      <w:sz w:val="24"/>
    </w:rPr>
  </w:style>
  <w:style w:type="paragraph" w:customStyle="1" w:styleId="Rparagraph">
    <w:name w:val="R paragraph"/>
    <w:basedOn w:val="Rheading"/>
    <w:link w:val="RparagraphChar"/>
    <w:qFormat/>
    <w:rsid w:val="0017397E"/>
    <w:pPr>
      <w:numPr>
        <w:ilvl w:val="1"/>
      </w:numPr>
      <w:spacing w:before="120"/>
      <w:ind w:left="567" w:hanging="567"/>
    </w:pPr>
    <w:rPr>
      <w:b w:val="0"/>
      <w:sz w:val="24"/>
    </w:rPr>
  </w:style>
  <w:style w:type="character" w:customStyle="1" w:styleId="RblankparagraphChar">
    <w:name w:val="R blank paragraph Char"/>
    <w:basedOn w:val="RnumberedparagraphChar"/>
    <w:link w:val="Rblankparagraph"/>
    <w:rsid w:val="000D1344"/>
    <w:rPr>
      <w:rFonts w:ascii="Arial" w:eastAsiaTheme="minorEastAsia" w:hAnsi="Arial"/>
      <w:sz w:val="24"/>
    </w:rPr>
  </w:style>
  <w:style w:type="paragraph" w:customStyle="1" w:styleId="Style2">
    <w:name w:val="Style2"/>
    <w:basedOn w:val="Rheading"/>
    <w:next w:val="Rparagraph"/>
    <w:rsid w:val="00A23158"/>
    <w:pPr>
      <w:numPr>
        <w:numId w:val="0"/>
      </w:numPr>
      <w:ind w:left="851" w:hanging="426"/>
    </w:pPr>
    <w:rPr>
      <w:b w:val="0"/>
    </w:rPr>
  </w:style>
  <w:style w:type="paragraph" w:customStyle="1" w:styleId="Rthirdlevelparagraph">
    <w:name w:val="R third level paragraph"/>
    <w:basedOn w:val="Rparagraph"/>
    <w:link w:val="RthirdlevelparagraphChar"/>
    <w:autoRedefine/>
    <w:qFormat/>
    <w:rsid w:val="00FB51F3"/>
    <w:pPr>
      <w:numPr>
        <w:ilvl w:val="2"/>
      </w:numPr>
    </w:pPr>
  </w:style>
  <w:style w:type="character" w:customStyle="1" w:styleId="RparagraphChar">
    <w:name w:val="R paragraph Char"/>
    <w:basedOn w:val="RheadingChar"/>
    <w:link w:val="Rparagraph"/>
    <w:rsid w:val="0017397E"/>
    <w:rPr>
      <w:rFonts w:ascii="Arial" w:eastAsiaTheme="minorEastAsia" w:hAnsi="Arial"/>
      <w:b w:val="0"/>
      <w:color w:val="5A5A5A" w:themeColor="text1" w:themeTint="A5"/>
      <w:spacing w:val="15"/>
      <w:sz w:val="24"/>
    </w:rPr>
  </w:style>
  <w:style w:type="character" w:customStyle="1" w:styleId="RthirdlevelparagraphChar">
    <w:name w:val="R third level paragraph Char"/>
    <w:basedOn w:val="RparagraphChar"/>
    <w:link w:val="Rthirdlevelparagraph"/>
    <w:rsid w:val="00FB51F3"/>
    <w:rPr>
      <w:rFonts w:ascii="Arial" w:eastAsiaTheme="minorEastAsia" w:hAnsi="Arial"/>
      <w:b w:val="0"/>
      <w:color w:val="5A5A5A" w:themeColor="text1" w:themeTint="A5"/>
      <w:spacing w:val="15"/>
      <w:sz w:val="24"/>
    </w:rPr>
  </w:style>
  <w:style w:type="paragraph" w:customStyle="1" w:styleId="Rquotation">
    <w:name w:val="R quotation"/>
    <w:basedOn w:val="Rblankparagraph"/>
    <w:link w:val="RquotationChar"/>
    <w:qFormat/>
    <w:rsid w:val="000D1344"/>
    <w:pPr>
      <w:ind w:left="567"/>
    </w:pPr>
  </w:style>
  <w:style w:type="paragraph" w:customStyle="1" w:styleId="Rsub-heading">
    <w:name w:val="R sub-heading"/>
    <w:basedOn w:val="Rparagraph"/>
    <w:link w:val="Rsub-headingChar"/>
    <w:autoRedefine/>
    <w:qFormat/>
    <w:rsid w:val="00D30A41"/>
    <w:pPr>
      <w:numPr>
        <w:ilvl w:val="0"/>
        <w:numId w:val="0"/>
      </w:numPr>
      <w:ind w:left="567"/>
    </w:pPr>
    <w:rPr>
      <w:b/>
    </w:rPr>
  </w:style>
  <w:style w:type="character" w:customStyle="1" w:styleId="RquotationChar">
    <w:name w:val="R quotation Char"/>
    <w:basedOn w:val="RblankparagraphChar"/>
    <w:link w:val="Rquotation"/>
    <w:rsid w:val="000D1344"/>
    <w:rPr>
      <w:rFonts w:ascii="Arial" w:eastAsiaTheme="minorEastAsia" w:hAnsi="Arial"/>
      <w:sz w:val="24"/>
    </w:rPr>
  </w:style>
  <w:style w:type="character" w:customStyle="1" w:styleId="Rsub-headingChar">
    <w:name w:val="R sub-heading Char"/>
    <w:basedOn w:val="RparagraphChar"/>
    <w:link w:val="Rsub-heading"/>
    <w:rsid w:val="00D30A41"/>
    <w:rPr>
      <w:rFonts w:ascii="Arial" w:eastAsiaTheme="minorEastAsia" w:hAnsi="Arial"/>
      <w:b/>
      <w:color w:val="5A5A5A" w:themeColor="text1" w:themeTint="A5"/>
      <w:spacing w:val="15"/>
      <w:sz w:val="24"/>
    </w:rPr>
  </w:style>
  <w:style w:type="paragraph" w:styleId="ListParagraph">
    <w:name w:val="List Paragraph"/>
    <w:basedOn w:val="Normal"/>
    <w:link w:val="ListParagraphChar"/>
    <w:uiPriority w:val="34"/>
    <w:qFormat/>
    <w:rsid w:val="004224A4"/>
    <w:pPr>
      <w:spacing w:after="0" w:line="260" w:lineRule="atLeast"/>
      <w:ind w:left="720"/>
    </w:pPr>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34"/>
    <w:locked/>
    <w:rsid w:val="004224A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224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24A4"/>
  </w:style>
  <w:style w:type="paragraph" w:styleId="Footer">
    <w:name w:val="footer"/>
    <w:basedOn w:val="Normal"/>
    <w:link w:val="FooterChar"/>
    <w:uiPriority w:val="99"/>
    <w:unhideWhenUsed/>
    <w:rsid w:val="00422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24A4"/>
  </w:style>
  <w:style w:type="paragraph" w:styleId="CommentText">
    <w:name w:val="annotation text"/>
    <w:basedOn w:val="Normal"/>
    <w:link w:val="CommentTextChar"/>
    <w:semiHidden/>
    <w:rsid w:val="00B40F8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B40F81"/>
    <w:rPr>
      <w:rFonts w:ascii="Times New Roman" w:eastAsia="Times New Roman" w:hAnsi="Times New Roman" w:cs="Times New Roman"/>
      <w:sz w:val="20"/>
      <w:szCs w:val="20"/>
    </w:rPr>
  </w:style>
  <w:style w:type="table" w:styleId="TableGrid">
    <w:name w:val="Table Grid"/>
    <w:basedOn w:val="TableNormal"/>
    <w:uiPriority w:val="39"/>
    <w:rsid w:val="00B40F8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4F8C"/>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F93995"/>
    <w:rPr>
      <w:sz w:val="16"/>
      <w:szCs w:val="16"/>
    </w:rPr>
  </w:style>
  <w:style w:type="paragraph" w:styleId="CommentSubject">
    <w:name w:val="annotation subject"/>
    <w:basedOn w:val="CommentText"/>
    <w:next w:val="CommentText"/>
    <w:link w:val="CommentSubjectChar"/>
    <w:uiPriority w:val="99"/>
    <w:semiHidden/>
    <w:unhideWhenUsed/>
    <w:rsid w:val="00F93995"/>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9399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93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995"/>
    <w:rPr>
      <w:rFonts w:ascii="Segoe UI" w:hAnsi="Segoe UI" w:cs="Segoe UI"/>
      <w:sz w:val="18"/>
      <w:szCs w:val="18"/>
    </w:rPr>
  </w:style>
  <w:style w:type="paragraph" w:styleId="Revision">
    <w:name w:val="Revision"/>
    <w:hidden/>
    <w:uiPriority w:val="99"/>
    <w:semiHidden/>
    <w:rsid w:val="00D253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1FC1F-FA1A-419D-B2DD-ACE8920D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7</Pages>
  <Words>2414</Words>
  <Characters>13764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Lowry, Ruth</dc:creator>
  <cp:lastModifiedBy>Neville, Mike</cp:lastModifiedBy>
  <cp:revision>17</cp:revision>
  <dcterms:created xsi:type="dcterms:W3CDTF">2018-05-16T13:14:00Z</dcterms:created>
  <dcterms:modified xsi:type="dcterms:W3CDTF">2018-06-08T12:58:00Z</dcterms:modified>
</cp:coreProperties>
</file>